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06" w:rsidRPr="00B1245B" w:rsidRDefault="006E4C06" w:rsidP="006E4C06">
      <w:pPr>
        <w:spacing w:after="0" w:line="240" w:lineRule="auto"/>
        <w:jc w:val="both"/>
        <w:rPr>
          <w:rFonts w:ascii="Times New Roman" w:hAnsi="Times New Roman"/>
          <w:sz w:val="24"/>
          <w:szCs w:val="24"/>
          <w:lang w:val="hu-HU"/>
        </w:rPr>
      </w:pPr>
    </w:p>
    <w:p w:rsidR="006E4C06" w:rsidRPr="00B1245B" w:rsidRDefault="006E4C06" w:rsidP="006E4C06">
      <w:pPr>
        <w:spacing w:after="0" w:line="240" w:lineRule="auto"/>
        <w:jc w:val="center"/>
        <w:rPr>
          <w:rFonts w:ascii="Times New Roman" w:hAnsi="Times New Roman"/>
          <w:b/>
          <w:sz w:val="24"/>
          <w:szCs w:val="24"/>
          <w:u w:val="single"/>
          <w:lang w:val="hu-HU"/>
        </w:rPr>
      </w:pPr>
      <w:r w:rsidRPr="00B1245B">
        <w:rPr>
          <w:rFonts w:ascii="Times New Roman" w:hAnsi="Times New Roman"/>
          <w:b/>
          <w:sz w:val="24"/>
          <w:szCs w:val="24"/>
          <w:u w:val="single"/>
          <w:lang w:val="hu-HU"/>
        </w:rPr>
        <w:t xml:space="preserve">A </w:t>
      </w:r>
      <w:r w:rsidR="008D03FE">
        <w:rPr>
          <w:rFonts w:ascii="Times New Roman" w:hAnsi="Times New Roman"/>
          <w:b/>
          <w:sz w:val="24"/>
          <w:szCs w:val="24"/>
          <w:u w:val="single"/>
          <w:lang w:val="hu-HU"/>
        </w:rPr>
        <w:t xml:space="preserve">2014-2020-as fejlesztési ciklusra vonatkozó </w:t>
      </w:r>
      <w:r w:rsidRPr="00B1245B">
        <w:rPr>
          <w:rFonts w:ascii="Times New Roman" w:hAnsi="Times New Roman"/>
          <w:b/>
          <w:sz w:val="24"/>
          <w:szCs w:val="24"/>
          <w:u w:val="single"/>
          <w:lang w:val="hu-HU"/>
        </w:rPr>
        <w:t>meg</w:t>
      </w:r>
      <w:r w:rsidR="00B1245B">
        <w:rPr>
          <w:rFonts w:ascii="Times New Roman" w:hAnsi="Times New Roman"/>
          <w:b/>
          <w:sz w:val="24"/>
          <w:szCs w:val="24"/>
          <w:u w:val="single"/>
          <w:lang w:val="hu-HU"/>
        </w:rPr>
        <w:t>yei tervezést befolyásoló jogszabályok összefoglalása</w:t>
      </w:r>
      <w:r w:rsidR="00481EF6" w:rsidRPr="00B1245B">
        <w:rPr>
          <w:rFonts w:ascii="Times New Roman" w:hAnsi="Times New Roman"/>
          <w:b/>
          <w:sz w:val="24"/>
          <w:szCs w:val="24"/>
          <w:u w:val="single"/>
          <w:lang w:val="hu-HU"/>
        </w:rPr>
        <w:t xml:space="preserve"> </w:t>
      </w:r>
    </w:p>
    <w:p w:rsidR="006E4C06" w:rsidRPr="00B1245B" w:rsidRDefault="006E4C06" w:rsidP="006E4C06">
      <w:pPr>
        <w:spacing w:after="0" w:line="240" w:lineRule="auto"/>
        <w:jc w:val="both"/>
        <w:rPr>
          <w:rFonts w:ascii="Times New Roman" w:hAnsi="Times New Roman"/>
          <w:sz w:val="24"/>
          <w:szCs w:val="24"/>
          <w:lang w:val="hu-HU"/>
        </w:rPr>
      </w:pPr>
    </w:p>
    <w:p w:rsidR="006E4C06" w:rsidRPr="00B1245B" w:rsidRDefault="006E4C06" w:rsidP="006E4C0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 xml:space="preserve">A megyei önkormányzatok területi tervezési feladatait a „Magyarország helyi önkormányzatairól” szóló </w:t>
      </w:r>
      <w:r w:rsidRPr="00B1245B">
        <w:rPr>
          <w:rFonts w:ascii="Times New Roman" w:hAnsi="Times New Roman"/>
          <w:b/>
          <w:sz w:val="24"/>
          <w:szCs w:val="24"/>
          <w:lang w:val="hu-HU"/>
        </w:rPr>
        <w:t>2011. évi CLXXXIX. törvény</w:t>
      </w:r>
      <w:r w:rsidRPr="00B1245B">
        <w:rPr>
          <w:rFonts w:ascii="Times New Roman" w:hAnsi="Times New Roman"/>
          <w:sz w:val="24"/>
          <w:szCs w:val="24"/>
          <w:lang w:val="hu-HU"/>
        </w:rPr>
        <w:t>, „</w:t>
      </w:r>
      <w:proofErr w:type="gramStart"/>
      <w:r w:rsidRPr="00B1245B">
        <w:rPr>
          <w:rFonts w:ascii="Times New Roman" w:hAnsi="Times New Roman"/>
          <w:sz w:val="24"/>
          <w:szCs w:val="24"/>
          <w:lang w:val="hu-HU"/>
        </w:rPr>
        <w:t>A</w:t>
      </w:r>
      <w:proofErr w:type="gramEnd"/>
      <w:r w:rsidRPr="00B1245B">
        <w:rPr>
          <w:rFonts w:ascii="Times New Roman" w:hAnsi="Times New Roman"/>
          <w:sz w:val="24"/>
          <w:szCs w:val="24"/>
          <w:lang w:val="hu-HU"/>
        </w:rPr>
        <w:t xml:space="preserve"> területfejlesztésről és a területrendezésről” szóló </w:t>
      </w:r>
      <w:r w:rsidRPr="00B1245B">
        <w:rPr>
          <w:rFonts w:ascii="Times New Roman" w:hAnsi="Times New Roman"/>
          <w:b/>
          <w:sz w:val="24"/>
          <w:szCs w:val="24"/>
          <w:lang w:val="hu-HU"/>
        </w:rPr>
        <w:t>1996. évi XXI. törvény</w:t>
      </w:r>
      <w:r w:rsidRPr="00B1245B">
        <w:rPr>
          <w:rFonts w:ascii="Times New Roman" w:hAnsi="Times New Roman"/>
          <w:sz w:val="24"/>
          <w:szCs w:val="24"/>
          <w:lang w:val="hu-HU"/>
        </w:rPr>
        <w:t xml:space="preserve">, valamint a 2014-2020 közötti európai uniós fejlesztési források felhasználásának tervezésével és intézményrendszerének kialakításával összefüggő aktuális feladatokról szóló </w:t>
      </w:r>
      <w:r w:rsidRPr="00B1245B">
        <w:rPr>
          <w:rFonts w:ascii="Times New Roman" w:hAnsi="Times New Roman"/>
          <w:b/>
          <w:sz w:val="24"/>
          <w:szCs w:val="24"/>
          <w:lang w:val="hu-HU"/>
        </w:rPr>
        <w:t>1600/2012. (XII.17.) Korm. határozat</w:t>
      </w:r>
      <w:r w:rsidRPr="00B1245B">
        <w:rPr>
          <w:rFonts w:ascii="Times New Roman" w:hAnsi="Times New Roman"/>
          <w:sz w:val="24"/>
          <w:szCs w:val="24"/>
          <w:lang w:val="hu-HU"/>
        </w:rPr>
        <w:t xml:space="preserve">, valamint a 2014-2020 közötti források területi koordinációjának kereteiről szóló </w:t>
      </w:r>
      <w:r w:rsidRPr="00B1245B">
        <w:rPr>
          <w:rFonts w:ascii="Times New Roman" w:hAnsi="Times New Roman"/>
          <w:b/>
          <w:sz w:val="24"/>
          <w:szCs w:val="24"/>
          <w:lang w:val="hu-HU"/>
        </w:rPr>
        <w:t>1115/2013. (III.8.) Korm. határozat</w:t>
      </w:r>
      <w:r w:rsidRPr="00B1245B">
        <w:rPr>
          <w:rFonts w:ascii="Times New Roman" w:hAnsi="Times New Roman"/>
          <w:sz w:val="24"/>
          <w:szCs w:val="24"/>
          <w:lang w:val="hu-HU"/>
        </w:rPr>
        <w:t xml:space="preserve"> jelöli ki. </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autoSpaceDE w:val="0"/>
        <w:autoSpaceDN w:val="0"/>
        <w:adjustRightInd w:val="0"/>
        <w:spacing w:after="0" w:line="240" w:lineRule="auto"/>
        <w:jc w:val="both"/>
        <w:rPr>
          <w:rFonts w:ascii="Times New Roman" w:hAnsi="Times New Roman"/>
          <w:b/>
          <w:i/>
          <w:sz w:val="24"/>
          <w:szCs w:val="24"/>
          <w:lang w:val="hu-HU"/>
        </w:rPr>
      </w:pPr>
      <w:r w:rsidRPr="00B1245B">
        <w:rPr>
          <w:rFonts w:ascii="Times New Roman" w:hAnsi="Times New Roman"/>
          <w:b/>
          <w:sz w:val="24"/>
          <w:szCs w:val="24"/>
          <w:lang w:val="hu-HU"/>
        </w:rPr>
        <w:t>„Magyarország helyi önkormányzatairól</w:t>
      </w:r>
      <w:r w:rsidRPr="00B1245B">
        <w:rPr>
          <w:rFonts w:ascii="Times New Roman" w:hAnsi="Times New Roman"/>
          <w:sz w:val="24"/>
          <w:szCs w:val="24"/>
          <w:lang w:val="hu-HU"/>
        </w:rPr>
        <w:t xml:space="preserve">” szóló </w:t>
      </w:r>
      <w:r w:rsidRPr="00B1245B">
        <w:rPr>
          <w:rFonts w:ascii="Times New Roman" w:hAnsi="Times New Roman"/>
          <w:b/>
          <w:sz w:val="24"/>
          <w:szCs w:val="24"/>
          <w:lang w:val="hu-HU"/>
        </w:rPr>
        <w:t>2011. évi CLXXXIX. törvény</w:t>
      </w:r>
      <w:r w:rsidRPr="00B1245B">
        <w:rPr>
          <w:rFonts w:ascii="Times New Roman" w:hAnsi="Times New Roman"/>
          <w:sz w:val="24"/>
          <w:szCs w:val="24"/>
          <w:lang w:val="hu-HU"/>
        </w:rPr>
        <w:t xml:space="preserve"> 27. § (1) bekezdése – amely 2012. január 1-én lépett hatályba - a megyei önkormányzatok szerepkörét alapvetően megváltoztatta: </w:t>
      </w:r>
      <w:r w:rsidRPr="00B1245B">
        <w:rPr>
          <w:rFonts w:ascii="Times New Roman" w:hAnsi="Times New Roman"/>
          <w:i/>
          <w:sz w:val="24"/>
          <w:szCs w:val="24"/>
          <w:lang w:val="hu-HU"/>
        </w:rPr>
        <w:t>„</w:t>
      </w:r>
      <w:proofErr w:type="gramStart"/>
      <w:r w:rsidRPr="00B1245B">
        <w:rPr>
          <w:rFonts w:ascii="Times New Roman" w:hAnsi="Times New Roman"/>
          <w:i/>
          <w:sz w:val="24"/>
          <w:szCs w:val="24"/>
          <w:lang w:val="hu-HU"/>
        </w:rPr>
        <w:t>A</w:t>
      </w:r>
      <w:proofErr w:type="gramEnd"/>
      <w:r w:rsidRPr="00B1245B">
        <w:rPr>
          <w:rFonts w:ascii="Times New Roman" w:hAnsi="Times New Roman"/>
          <w:i/>
          <w:sz w:val="24"/>
          <w:szCs w:val="24"/>
          <w:lang w:val="hu-HU"/>
        </w:rPr>
        <w:t xml:space="preserve"> </w:t>
      </w:r>
      <w:r w:rsidRPr="00B1245B">
        <w:rPr>
          <w:rFonts w:ascii="Times New Roman" w:hAnsi="Times New Roman"/>
          <w:b/>
          <w:i/>
          <w:sz w:val="24"/>
          <w:szCs w:val="24"/>
          <w:lang w:val="hu-HU"/>
        </w:rPr>
        <w:t>megyei önkormányzat</w:t>
      </w:r>
      <w:r w:rsidRPr="00B1245B">
        <w:rPr>
          <w:rFonts w:ascii="Times New Roman" w:hAnsi="Times New Roman"/>
          <w:i/>
          <w:sz w:val="24"/>
          <w:szCs w:val="24"/>
          <w:lang w:val="hu-HU"/>
        </w:rPr>
        <w:t xml:space="preserve"> területi önkormányzat, amely törvényben meghatározottak szerint </w:t>
      </w:r>
      <w:r w:rsidRPr="00B1245B">
        <w:rPr>
          <w:rFonts w:ascii="Times New Roman" w:hAnsi="Times New Roman"/>
          <w:b/>
          <w:i/>
          <w:sz w:val="24"/>
          <w:szCs w:val="24"/>
          <w:lang w:val="hu-HU"/>
        </w:rPr>
        <w:t>területfejlesztési, vidékfejlesztési, területrendezési,</w:t>
      </w:r>
      <w:r w:rsidRPr="00B1245B">
        <w:rPr>
          <w:rFonts w:ascii="Times New Roman" w:hAnsi="Times New Roman"/>
          <w:i/>
          <w:sz w:val="24"/>
          <w:szCs w:val="24"/>
          <w:lang w:val="hu-HU"/>
        </w:rPr>
        <w:t xml:space="preserve"> valamint</w:t>
      </w:r>
      <w:r w:rsidRPr="00B1245B">
        <w:rPr>
          <w:rFonts w:ascii="Times New Roman" w:hAnsi="Times New Roman"/>
          <w:b/>
          <w:i/>
          <w:sz w:val="24"/>
          <w:szCs w:val="24"/>
          <w:lang w:val="hu-HU"/>
        </w:rPr>
        <w:t xml:space="preserve"> koordinációs feladatokat lát el.”</w:t>
      </w: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p>
    <w:p w:rsidR="006E4C06" w:rsidRPr="00B1245B" w:rsidRDefault="006E4C06" w:rsidP="00481EF6">
      <w:pPr>
        <w:autoSpaceDE w:val="0"/>
        <w:autoSpaceDN w:val="0"/>
        <w:adjustRightInd w:val="0"/>
        <w:spacing w:after="0" w:line="240" w:lineRule="auto"/>
        <w:jc w:val="both"/>
        <w:rPr>
          <w:rFonts w:ascii="Times New Roman" w:hAnsi="Times New Roman"/>
          <w:sz w:val="24"/>
          <w:szCs w:val="24"/>
          <w:u w:val="single"/>
          <w:lang w:val="hu-HU"/>
        </w:rPr>
      </w:pPr>
      <w:r w:rsidRPr="00B1245B">
        <w:rPr>
          <w:rFonts w:ascii="Times New Roman" w:hAnsi="Times New Roman"/>
          <w:b/>
          <w:sz w:val="24"/>
          <w:szCs w:val="24"/>
          <w:lang w:val="hu-HU"/>
        </w:rPr>
        <w:t>„A területfejlesztésről és területrendezésről”</w:t>
      </w:r>
      <w:r w:rsidRPr="00B1245B">
        <w:rPr>
          <w:rFonts w:ascii="Times New Roman" w:hAnsi="Times New Roman"/>
          <w:sz w:val="24"/>
          <w:szCs w:val="24"/>
          <w:lang w:val="hu-HU"/>
        </w:rPr>
        <w:t xml:space="preserve"> szóló </w:t>
      </w:r>
      <w:r w:rsidRPr="00B1245B">
        <w:rPr>
          <w:rFonts w:ascii="Times New Roman" w:hAnsi="Times New Roman"/>
          <w:b/>
          <w:sz w:val="24"/>
          <w:szCs w:val="24"/>
          <w:lang w:val="hu-HU"/>
        </w:rPr>
        <w:t>1996. évi XXI. törvény</w:t>
      </w:r>
      <w:r w:rsidRPr="00B1245B">
        <w:rPr>
          <w:rFonts w:ascii="Times New Roman" w:hAnsi="Times New Roman"/>
          <w:sz w:val="24"/>
          <w:szCs w:val="24"/>
          <w:lang w:val="hu-HU"/>
        </w:rPr>
        <w:t xml:space="preserve"> (a továbbiakban: Tftv.) a megyei önkormányzatok feladat és hatáskörét szabályozó törvények közül meghatározó jelentőségű, a benne foglaltak szerint a megyei önkormányzatok két legfontosabb feladata a megyei szintű területfejlesztés és a területrendezés. „A területfejlesztéssel és a területrendezéssel összefüggő egyes törvények módosításáról” szóló 2011. évi CXCVIII. törvénnyel módosított Tftv-ben konkrétan definiált megyei területfejlesztési és területrendezési feladatok az alábbiak:</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területrendezési tervet kell készítenie a megye területére;</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területileg össze kell hangolnia a fejlesztéspolitikai és a területi szerepéből, továbbá a nemzetközi és határon átnyúló együttműködésből adódó feladatait, biztosítania kell azok összhangját a megyei gazdaságfejlesztési és foglalkoztatás-politikai koncepciókkal;</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a megye települési önkormányzatainak felkérésére koordinálnia kell a települések fejlesztési tevékenységét;</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a településrendezési tervek összehangolása érdekében együtt kell működnie a megyei jogú városok önkormányzataival és az érintett települések önkormányzataival;</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a megye gazdasági szereplőivel is fontos a jó együttműködés kialakítása, és fenntartása a hatékony feladatellátás érdekében;</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a területi információs rendszer kialakítását és működtetését közösen kell megoldania a Központi Statisztikai Hivatallal és más adatgyűjtő szervezetekkel, információkat kell szolgáltatnia a területi tervek készítéséhez;</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a települési önkormányzatok felkérése alapján segítséget kell nyújtania a helyi önkormányzatok területfejlesztési társulásainak szerveződéséhez;</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gondoskodnia kell a településrendezési tervek és a megyei területrendezési terv összhangjáról;</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a többi megyei önkormányzattal össze kell hangolnia az olyan több megyére vagy azok meghatározott területére vonatkozó térségek tervezését, amelyek társadalmi, gazdasági vagy környezeti szempontból együtt kezelendők, ezért egységes tervezéséhez és fejlesztéséhez országos érdekek fűződnek;</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össze kell hangolnia a kormányzat, az önkormányzatok és a gazdasági szervezetek fejlesztési elképzeléseit, amelynek keretében:</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vizsgálja és értékeli a megye társadalmi és gazdasági helyzetét, környezeti állapotát, adottságait, a vizsgálatok során felhasznált információkat és vizsgálatok eredményeit a területi információs rendszer rendelkezésére bocsájtja;</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a megyei jogú város önkormányzata bevonásával kidolgozza és elfogadja – az országos területfejlesztési koncepcióval összhangban – a megye hosszú távú területfejlesztési koncepcióját, illetve – a megyei területfejlesztési koncepció és területrendezési terv figyelembevételével – a megye fejlesztési programját és az egyes alprogramokat;</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előzetesen véleményezi a térségi területfejlesztési koncepciókat, területfejlesztési programokat, részt vesz az országos területfejlesztési koncepció és a nemzeti fejlesztési stratégia kidolgozásában;</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szakmai kapacitásával segíti a területfejlesztési önkormányzati társulások és a térségi fejlesztési tanácsok tervező, döntés-előkészítő, fejlesztési célokat feltáró, pályázatokat megalapozó tevékenységét;</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lastRenderedPageBreak/>
        <w:t>előzetesen véleményezi az országos, valamint a megyét érintő ágazati fejlesztési koncepciókat és programokat, továbbá a területét érintő területrendezési terveket;</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közreműködik a megyében kialakult társadalmi és gazdasági válsághelyzetek kezelésében;</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figyelemmel kíséri az operatív programok megyében jelentkező feladatainak megvalósítását, külön döntés alapján közreműködik azok végrehajtásában;</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előzetesen véleményezi és koordinálja az illetékes területi államigazgatási szervek megyét érintő fejlesztéseit és pályázatait;</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megállapodásokat köthet külföldi régiókkal, részt vehet nemzetközi együttműködésekben;</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közreműködik a területfejlesztési programok végrehajtásának nyomon követésében és értékelésében;</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a tervezés és végrehajtás során gondoskodik a partnerség elvének érvényesítéséről.</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dönt a hatáskörébe utalt fejlesztési források felhasználásáról;</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 xml:space="preserve">kizárólagos hatáskörben rendeletet alkot a területfejlesztési koncepcióról és programról, amely rendeletet a koncepció tekintetében a területfejlesztés stratégiai tervezéséért felelős miniszter, a program tekintetében a miniszter állásfoglalását követően szabad elfogadni; </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fenti feladataival összefüggésben végzett munkájáról évente beszámol a nemzeti fejlesztési miniszternek.</w:t>
      </w: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Előzőekből egyértelműen látszik, hogy a Tftv. jelentősen kibővítette a megyei önkormányzat területfejlesztéssel kapcsolatos feladat és hatáskörét. A megyei önkormányzatok eredményes munkájának – megyék közötti, megyén belüli illetve megyehatáron átnyúló koordináció – elősegítése érdekében az alábbi szervezetek tevékenykednek:</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b/>
          <w:sz w:val="24"/>
          <w:szCs w:val="24"/>
          <w:lang w:val="hu-HU"/>
        </w:rPr>
        <w:t>Regionális Területfejlesztési Konzultációs Fórum</w:t>
      </w:r>
      <w:r w:rsidRPr="00B1245B">
        <w:rPr>
          <w:rFonts w:ascii="Times New Roman" w:hAnsi="Times New Roman"/>
          <w:sz w:val="24"/>
          <w:szCs w:val="24"/>
          <w:lang w:val="hu-HU"/>
        </w:rPr>
        <w:t xml:space="preserve"> (kötelező), melynek tagjai a régióba tartozó megyei önkormányzatok közgyűléseinek elnökei, feladata a regionális döntések véleményezése, a megyei önkormányzatok döntéshozatalának összehangolása. Titkársági feladatairól a megyék megállapodása szerinti a megyei önkormányzat gondoskodik.</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b/>
          <w:sz w:val="24"/>
          <w:szCs w:val="24"/>
          <w:lang w:val="hu-HU"/>
        </w:rPr>
        <w:t>Megyei Területfejlesztési Konzultációs Fórum</w:t>
      </w:r>
      <w:r w:rsidRPr="00B1245B">
        <w:rPr>
          <w:rFonts w:ascii="Times New Roman" w:hAnsi="Times New Roman"/>
          <w:sz w:val="24"/>
          <w:szCs w:val="24"/>
          <w:lang w:val="hu-HU"/>
        </w:rPr>
        <w:t xml:space="preserve"> (kötelező), melynek tagjai a megyei jogú városok egy-egy delegáltja és ugyanennyi taggal a megyei önkormányzat delegáltjai. Feladatai előzetes állásfoglalás a megyei önkormányzat közgyűlésének területfejlesztést érintő ügyeiben. Titkársági feladatairól a tagok megegyezése szerinti közgyűlés munkaszervezete gondoskodik.</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b/>
          <w:sz w:val="24"/>
          <w:szCs w:val="24"/>
          <w:lang w:val="hu-HU"/>
        </w:rPr>
        <w:t>Térségi Fejlesztési Tanács</w:t>
      </w:r>
      <w:r w:rsidRPr="00B1245B">
        <w:rPr>
          <w:rFonts w:ascii="Times New Roman" w:hAnsi="Times New Roman"/>
          <w:sz w:val="24"/>
          <w:szCs w:val="24"/>
          <w:lang w:val="hu-HU"/>
        </w:rPr>
        <w:t xml:space="preserve"> (létrehozható, de megalapítása esetén jogi személy), mely a régió-, illetve a megyehatárokon túlterjedő, vagy egyes kiemelt területfejlesztési feladatok ellátása céljából megyei önkormányzatok közgyűlései által létrehozott szervezet. Tagjai a tanács illetékességi területén működő megyei önkormányzatok közgyűléseinek elnökei és az érintett megyei önkormányzat egy-egy képviselője. Titkársági feladatairól megállapodás alapján valamelyik önkormányzat vagy elkülönült munkaszervezet gondoskodik.</w:t>
      </w: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 xml:space="preserve">2012. december 17-én jelent meg a </w:t>
      </w:r>
      <w:r w:rsidRPr="00B1245B">
        <w:rPr>
          <w:rFonts w:ascii="Times New Roman" w:hAnsi="Times New Roman"/>
          <w:b/>
          <w:sz w:val="24"/>
          <w:szCs w:val="24"/>
          <w:lang w:val="hu-HU"/>
        </w:rPr>
        <w:t>Magyar Kormány 1600/2012-es számú határozata</w:t>
      </w:r>
      <w:r w:rsidRPr="00B1245B">
        <w:rPr>
          <w:rFonts w:ascii="Times New Roman" w:hAnsi="Times New Roman"/>
          <w:sz w:val="24"/>
          <w:szCs w:val="24"/>
          <w:lang w:val="hu-HU"/>
        </w:rPr>
        <w:t>, melynek legfontosabb megállapításai kiemelt figyelemmel a megyék területfejlesztési feladatira:</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Célok és elvek a 2014-2020 közötti európai uniós fejlesztési források felhasználásának tervezéséhez:</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b/>
          <w:sz w:val="24"/>
          <w:szCs w:val="24"/>
          <w:lang w:val="hu-HU"/>
        </w:rPr>
        <w:t>Integrált forrástervezés</w:t>
      </w:r>
      <w:r w:rsidRPr="00B1245B">
        <w:rPr>
          <w:rFonts w:ascii="Times New Roman" w:hAnsi="Times New Roman"/>
          <w:sz w:val="24"/>
          <w:szCs w:val="24"/>
          <w:lang w:val="hu-HU"/>
        </w:rPr>
        <w:t>, ide értve a vidékfejlesztési forrásokat is,</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 xml:space="preserve">Fejlesztési források </w:t>
      </w:r>
      <w:r w:rsidRPr="00B1245B">
        <w:rPr>
          <w:rFonts w:ascii="Times New Roman" w:hAnsi="Times New Roman"/>
          <w:b/>
          <w:sz w:val="24"/>
          <w:szCs w:val="24"/>
          <w:lang w:val="hu-HU"/>
        </w:rPr>
        <w:t>60 %</w:t>
      </w:r>
      <w:r w:rsidRPr="00B1245B">
        <w:rPr>
          <w:rFonts w:ascii="Times New Roman" w:hAnsi="Times New Roman"/>
          <w:sz w:val="24"/>
          <w:szCs w:val="24"/>
          <w:lang w:val="hu-HU"/>
        </w:rPr>
        <w:t xml:space="preserve">-át közvetlenül </w:t>
      </w:r>
      <w:r w:rsidRPr="00B1245B">
        <w:rPr>
          <w:rFonts w:ascii="Times New Roman" w:hAnsi="Times New Roman"/>
          <w:b/>
          <w:sz w:val="24"/>
          <w:szCs w:val="24"/>
          <w:lang w:val="hu-HU"/>
        </w:rPr>
        <w:t>gazdaságfejlesztés</w:t>
      </w:r>
      <w:r w:rsidRPr="00B1245B">
        <w:rPr>
          <w:rFonts w:ascii="Times New Roman" w:hAnsi="Times New Roman"/>
          <w:sz w:val="24"/>
          <w:szCs w:val="24"/>
          <w:lang w:val="hu-HU"/>
        </w:rPr>
        <w:t>re kell fordítani,</w:t>
      </w:r>
    </w:p>
    <w:p w:rsidR="006E4C06" w:rsidRPr="00B1245B" w:rsidRDefault="006E4C06" w:rsidP="00481EF6">
      <w:pPr>
        <w:numPr>
          <w:ilvl w:val="0"/>
          <w:numId w:val="2"/>
        </w:numPr>
        <w:tabs>
          <w:tab w:val="clear" w:pos="72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 xml:space="preserve">Területiség elvének figyelembe vétele, különös tekintettel a </w:t>
      </w:r>
      <w:r w:rsidRPr="00B1245B">
        <w:rPr>
          <w:rFonts w:ascii="Times New Roman" w:hAnsi="Times New Roman"/>
          <w:b/>
          <w:sz w:val="24"/>
          <w:szCs w:val="24"/>
          <w:lang w:val="hu-HU"/>
        </w:rPr>
        <w:t>területi operatív programok tervezésére</w:t>
      </w:r>
      <w:r w:rsidRPr="00B1245B">
        <w:rPr>
          <w:rFonts w:ascii="Times New Roman" w:hAnsi="Times New Roman"/>
          <w:sz w:val="24"/>
          <w:szCs w:val="24"/>
          <w:lang w:val="hu-HU"/>
        </w:rPr>
        <w:t xml:space="preserve">, mely </w:t>
      </w:r>
      <w:r w:rsidRPr="00B1245B">
        <w:rPr>
          <w:rFonts w:ascii="Times New Roman" w:hAnsi="Times New Roman"/>
          <w:b/>
          <w:sz w:val="24"/>
          <w:szCs w:val="24"/>
          <w:lang w:val="hu-HU"/>
        </w:rPr>
        <w:t>során biztosítani kell a megyék hatékony közreműködését</w:t>
      </w:r>
      <w:r w:rsidRPr="00B1245B">
        <w:rPr>
          <w:rFonts w:ascii="Times New Roman" w:hAnsi="Times New Roman"/>
          <w:sz w:val="24"/>
          <w:szCs w:val="24"/>
          <w:lang w:val="hu-HU"/>
        </w:rPr>
        <w:t>,</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b/>
          <w:sz w:val="24"/>
          <w:szCs w:val="24"/>
          <w:lang w:val="hu-HU"/>
        </w:rPr>
        <w:t>Operatív programok</w:t>
      </w:r>
      <w:r w:rsidRPr="00B1245B">
        <w:rPr>
          <w:rFonts w:ascii="Times New Roman" w:hAnsi="Times New Roman"/>
          <w:sz w:val="24"/>
          <w:szCs w:val="24"/>
          <w:lang w:val="hu-HU"/>
        </w:rPr>
        <w:t xml:space="preserve"> szerkezete.</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 xml:space="preserve">További javaslattétel a források </w:t>
      </w:r>
      <w:r w:rsidRPr="00B1245B">
        <w:rPr>
          <w:rFonts w:ascii="Times New Roman" w:hAnsi="Times New Roman"/>
          <w:b/>
          <w:sz w:val="24"/>
          <w:szCs w:val="24"/>
          <w:lang w:val="hu-HU"/>
        </w:rPr>
        <w:t>területi koordináció</w:t>
      </w:r>
      <w:r w:rsidRPr="00B1245B">
        <w:rPr>
          <w:rFonts w:ascii="Times New Roman" w:hAnsi="Times New Roman"/>
          <w:sz w:val="24"/>
          <w:szCs w:val="24"/>
          <w:lang w:val="hu-HU"/>
        </w:rPr>
        <w:t xml:space="preserve">jának keretére, oly módon, hogy a </w:t>
      </w:r>
      <w:r w:rsidRPr="00B1245B">
        <w:rPr>
          <w:rFonts w:ascii="Times New Roman" w:hAnsi="Times New Roman"/>
          <w:b/>
          <w:sz w:val="24"/>
          <w:szCs w:val="24"/>
          <w:lang w:val="hu-HU"/>
        </w:rPr>
        <w:t>megyék meghatározó szerepet kapjanak a területfejlesztési források felhasználásának tervezésében</w:t>
      </w:r>
      <w:r w:rsidRPr="00B1245B">
        <w:rPr>
          <w:rFonts w:ascii="Times New Roman" w:hAnsi="Times New Roman"/>
          <w:sz w:val="24"/>
          <w:szCs w:val="24"/>
          <w:lang w:val="hu-HU"/>
        </w:rPr>
        <w:t>.</w:t>
      </w: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 xml:space="preserve">A 2013. március 8-án megjelent </w:t>
      </w:r>
      <w:r w:rsidRPr="00B1245B">
        <w:rPr>
          <w:rFonts w:ascii="Times New Roman" w:hAnsi="Times New Roman"/>
          <w:b/>
          <w:sz w:val="24"/>
          <w:szCs w:val="24"/>
          <w:lang w:val="hu-HU"/>
        </w:rPr>
        <w:t>1115/2013-as Korm. határozat</w:t>
      </w:r>
      <w:r w:rsidRPr="00B1245B">
        <w:rPr>
          <w:rFonts w:ascii="Times New Roman" w:hAnsi="Times New Roman"/>
          <w:sz w:val="24"/>
          <w:szCs w:val="24"/>
          <w:lang w:val="hu-HU"/>
        </w:rPr>
        <w:t>ban rögzített főbb megállapításai:</w:t>
      </w:r>
    </w:p>
    <w:p w:rsidR="006E4C06" w:rsidRPr="00B1245B" w:rsidRDefault="006E4C06" w:rsidP="00481EF6">
      <w:pPr>
        <w:numPr>
          <w:ilvl w:val="0"/>
          <w:numId w:val="1"/>
        </w:numPr>
        <w:tabs>
          <w:tab w:val="clear" w:pos="720"/>
          <w:tab w:val="num" w:pos="48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Általános elvek, szempontok a további tervezési folyamathoz:</w:t>
      </w:r>
    </w:p>
    <w:p w:rsidR="006E4C06" w:rsidRPr="00B1245B" w:rsidRDefault="006E4C06" w:rsidP="00481EF6">
      <w:pPr>
        <w:numPr>
          <w:ilvl w:val="0"/>
          <w:numId w:val="2"/>
        </w:numPr>
        <w:tabs>
          <w:tab w:val="clear" w:pos="720"/>
          <w:tab w:val="num" w:pos="48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 xml:space="preserve">a </w:t>
      </w:r>
      <w:r w:rsidRPr="00B1245B">
        <w:rPr>
          <w:rFonts w:ascii="Times New Roman" w:hAnsi="Times New Roman"/>
          <w:b/>
          <w:sz w:val="24"/>
          <w:szCs w:val="24"/>
          <w:lang w:val="hu-HU"/>
        </w:rPr>
        <w:t xml:space="preserve">fejlesztések </w:t>
      </w:r>
      <w:r w:rsidRPr="00B1245B">
        <w:rPr>
          <w:rFonts w:ascii="Times New Roman" w:hAnsi="Times New Roman"/>
          <w:sz w:val="24"/>
          <w:szCs w:val="24"/>
          <w:lang w:val="hu-HU"/>
        </w:rPr>
        <w:t>integrációjának és a térségi programoknak a</w:t>
      </w:r>
      <w:r w:rsidRPr="00B1245B">
        <w:rPr>
          <w:rFonts w:ascii="Times New Roman" w:hAnsi="Times New Roman"/>
          <w:b/>
          <w:sz w:val="24"/>
          <w:szCs w:val="24"/>
          <w:lang w:val="hu-HU"/>
        </w:rPr>
        <w:t xml:space="preserve"> szintjei</w:t>
      </w:r>
      <w:r w:rsidRPr="00B1245B">
        <w:rPr>
          <w:rFonts w:ascii="Times New Roman" w:hAnsi="Times New Roman"/>
          <w:sz w:val="24"/>
          <w:szCs w:val="24"/>
          <w:lang w:val="hu-HU"/>
        </w:rPr>
        <w:t xml:space="preserve"> és </w:t>
      </w:r>
      <w:r w:rsidRPr="00B1245B">
        <w:rPr>
          <w:rFonts w:ascii="Times New Roman" w:hAnsi="Times New Roman"/>
          <w:b/>
          <w:sz w:val="24"/>
          <w:szCs w:val="24"/>
          <w:lang w:val="hu-HU"/>
        </w:rPr>
        <w:t>beavatkozási egységei:</w:t>
      </w:r>
    </w:p>
    <w:p w:rsidR="006E4C06" w:rsidRPr="00B1245B" w:rsidRDefault="006E4C06" w:rsidP="00481EF6">
      <w:pPr>
        <w:numPr>
          <w:ilvl w:val="1"/>
          <w:numId w:val="2"/>
        </w:numPr>
        <w:tabs>
          <w:tab w:val="num" w:pos="840"/>
        </w:tabs>
        <w:autoSpaceDE w:val="0"/>
        <w:autoSpaceDN w:val="0"/>
        <w:adjustRightInd w:val="0"/>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 xml:space="preserve">a </w:t>
      </w:r>
      <w:r w:rsidRPr="00B1245B">
        <w:rPr>
          <w:rFonts w:ascii="Times New Roman" w:hAnsi="Times New Roman"/>
          <w:b/>
          <w:sz w:val="24"/>
          <w:szCs w:val="24"/>
          <w:lang w:val="hu-HU"/>
        </w:rPr>
        <w:t>megyék,</w:t>
      </w:r>
    </w:p>
    <w:p w:rsidR="006E4C06" w:rsidRPr="00B1245B" w:rsidRDefault="006E4C06" w:rsidP="00481EF6">
      <w:pPr>
        <w:numPr>
          <w:ilvl w:val="1"/>
          <w:numId w:val="2"/>
        </w:numPr>
        <w:tabs>
          <w:tab w:val="num" w:pos="840"/>
        </w:tabs>
        <w:autoSpaceDE w:val="0"/>
        <w:autoSpaceDN w:val="0"/>
        <w:adjustRightInd w:val="0"/>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a megyei jogú városok térségei,</w:t>
      </w:r>
    </w:p>
    <w:p w:rsidR="006E4C06" w:rsidRPr="00B1245B" w:rsidRDefault="006E4C06" w:rsidP="00481EF6">
      <w:pPr>
        <w:numPr>
          <w:ilvl w:val="1"/>
          <w:numId w:val="2"/>
        </w:numPr>
        <w:tabs>
          <w:tab w:val="num" w:pos="840"/>
        </w:tabs>
        <w:autoSpaceDE w:val="0"/>
        <w:autoSpaceDN w:val="0"/>
        <w:adjustRightInd w:val="0"/>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a helyi közösségek és települések együttműködésén alapuló kisvárosi térségek, valamint</w:t>
      </w:r>
    </w:p>
    <w:p w:rsidR="006E4C06" w:rsidRPr="00B1245B" w:rsidRDefault="006E4C06" w:rsidP="00481EF6">
      <w:pPr>
        <w:numPr>
          <w:ilvl w:val="1"/>
          <w:numId w:val="2"/>
        </w:numPr>
        <w:tabs>
          <w:tab w:val="num" w:pos="840"/>
        </w:tabs>
        <w:autoSpaceDE w:val="0"/>
        <w:autoSpaceDN w:val="0"/>
        <w:adjustRightInd w:val="0"/>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az egyes országos szempontból kiemelten kezelendő speciális, funkcionális térségek legyenek.</w:t>
      </w:r>
    </w:p>
    <w:p w:rsidR="006E4C06" w:rsidRPr="00B1245B" w:rsidRDefault="006E4C06" w:rsidP="00481EF6">
      <w:pPr>
        <w:numPr>
          <w:ilvl w:val="0"/>
          <w:numId w:val="2"/>
        </w:numPr>
        <w:tabs>
          <w:tab w:val="clear" w:pos="720"/>
          <w:tab w:val="num" w:pos="48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lastRenderedPageBreak/>
        <w:t xml:space="preserve">a </w:t>
      </w:r>
      <w:r w:rsidRPr="00B1245B">
        <w:rPr>
          <w:rFonts w:ascii="Times New Roman" w:hAnsi="Times New Roman"/>
          <w:b/>
          <w:sz w:val="24"/>
          <w:szCs w:val="24"/>
          <w:lang w:val="hu-HU"/>
        </w:rPr>
        <w:t xml:space="preserve">megyei </w:t>
      </w:r>
      <w:r w:rsidRPr="00B1245B">
        <w:rPr>
          <w:rFonts w:ascii="Times New Roman" w:hAnsi="Times New Roman"/>
          <w:sz w:val="24"/>
          <w:szCs w:val="24"/>
          <w:lang w:val="hu-HU"/>
        </w:rPr>
        <w:t xml:space="preserve">szinten a </w:t>
      </w:r>
      <w:r w:rsidRPr="00B1245B">
        <w:rPr>
          <w:rFonts w:ascii="Times New Roman" w:hAnsi="Times New Roman"/>
          <w:b/>
          <w:sz w:val="24"/>
          <w:szCs w:val="24"/>
          <w:lang w:val="hu-HU"/>
        </w:rPr>
        <w:t>területfejlesztési program</w:t>
      </w:r>
      <w:r w:rsidRPr="00B1245B">
        <w:rPr>
          <w:rFonts w:ascii="Times New Roman" w:hAnsi="Times New Roman"/>
          <w:sz w:val="24"/>
          <w:szCs w:val="24"/>
          <w:lang w:val="hu-HU"/>
        </w:rPr>
        <w:t>okban megfogalmazásra kerülő fejlesztések és a megyei tervezés az ágazati szintű stratégiákkal és reformokkal összhangban, az országos szinten kialakított programkeretbe, valamint az uniós kohéziós politikai rendszerbe illeszkedve, egységes formában, összehangoltan valósuljon meg.</w:t>
      </w:r>
    </w:p>
    <w:p w:rsidR="006E4C06" w:rsidRPr="00B1245B" w:rsidRDefault="006E4C06" w:rsidP="00481EF6">
      <w:pPr>
        <w:numPr>
          <w:ilvl w:val="0"/>
          <w:numId w:val="2"/>
        </w:numPr>
        <w:tabs>
          <w:tab w:val="clear" w:pos="720"/>
          <w:tab w:val="num" w:pos="48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A megyei és helyi fejlesztéseknek kiemelten a fenntartható és a foglalkoztatást bővítésére épülő gazdasági növekedéshez kell hozzájárulniuk.</w:t>
      </w:r>
    </w:p>
    <w:p w:rsidR="006E4C06" w:rsidRPr="00B1245B" w:rsidRDefault="006E4C06" w:rsidP="00481EF6">
      <w:pPr>
        <w:numPr>
          <w:ilvl w:val="0"/>
          <w:numId w:val="2"/>
        </w:numPr>
        <w:tabs>
          <w:tab w:val="clear" w:pos="720"/>
          <w:tab w:val="num" w:pos="480"/>
          <w:tab w:val="num" w:pos="840"/>
        </w:tabs>
        <w:autoSpaceDE w:val="0"/>
        <w:autoSpaceDN w:val="0"/>
        <w:adjustRightInd w:val="0"/>
        <w:spacing w:after="0" w:line="240" w:lineRule="auto"/>
        <w:ind w:left="840"/>
        <w:jc w:val="both"/>
        <w:rPr>
          <w:rFonts w:ascii="Times New Roman" w:hAnsi="Times New Roman"/>
          <w:sz w:val="24"/>
          <w:szCs w:val="24"/>
          <w:lang w:val="hu-HU"/>
        </w:rPr>
      </w:pPr>
      <w:r w:rsidRPr="00B1245B">
        <w:rPr>
          <w:rFonts w:ascii="Times New Roman" w:hAnsi="Times New Roman"/>
          <w:sz w:val="24"/>
          <w:szCs w:val="24"/>
          <w:lang w:val="hu-HU"/>
        </w:rPr>
        <w:t>Minden operatív programban szükséges érvényesíteni a hátrányos helyzetű térségek felzárkóztatásának szempontját.</w:t>
      </w:r>
    </w:p>
    <w:p w:rsidR="006E4C06" w:rsidRPr="00B1245B" w:rsidRDefault="006E4C06" w:rsidP="00481EF6">
      <w:pPr>
        <w:numPr>
          <w:ilvl w:val="0"/>
          <w:numId w:val="1"/>
        </w:numPr>
        <w:tabs>
          <w:tab w:val="clear" w:pos="720"/>
          <w:tab w:val="num" w:pos="480"/>
          <w:tab w:val="num" w:pos="84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b/>
          <w:sz w:val="24"/>
          <w:szCs w:val="24"/>
          <w:lang w:val="hu-HU"/>
        </w:rPr>
        <w:t>Szakmai iránymutatás és koordináció biztosítása a megyék</w:t>
      </w:r>
      <w:r w:rsidRPr="00B1245B">
        <w:rPr>
          <w:rFonts w:ascii="Times New Roman" w:hAnsi="Times New Roman"/>
          <w:sz w:val="24"/>
          <w:szCs w:val="24"/>
          <w:lang w:val="hu-HU"/>
        </w:rPr>
        <w:t xml:space="preserve">, valamint a megyei jogú városok </w:t>
      </w:r>
      <w:r w:rsidRPr="00B1245B">
        <w:rPr>
          <w:rFonts w:ascii="Times New Roman" w:hAnsi="Times New Roman"/>
          <w:b/>
          <w:sz w:val="24"/>
          <w:szCs w:val="24"/>
          <w:lang w:val="hu-HU"/>
        </w:rPr>
        <w:t>számára.</w:t>
      </w:r>
    </w:p>
    <w:p w:rsidR="006E4C06" w:rsidRPr="00B1245B" w:rsidRDefault="006E4C06" w:rsidP="00481EF6">
      <w:pPr>
        <w:numPr>
          <w:ilvl w:val="0"/>
          <w:numId w:val="1"/>
        </w:numPr>
        <w:tabs>
          <w:tab w:val="clear" w:pos="720"/>
          <w:tab w:val="num" w:pos="480"/>
          <w:tab w:val="num" w:pos="840"/>
        </w:tabs>
        <w:autoSpaceDE w:val="0"/>
        <w:autoSpaceDN w:val="0"/>
        <w:adjustRightInd w:val="0"/>
        <w:spacing w:after="0" w:line="240" w:lineRule="auto"/>
        <w:ind w:left="480" w:hanging="338"/>
        <w:jc w:val="both"/>
        <w:rPr>
          <w:rFonts w:ascii="Times New Roman" w:hAnsi="Times New Roman"/>
          <w:b/>
          <w:sz w:val="24"/>
          <w:szCs w:val="24"/>
          <w:lang w:val="hu-HU"/>
        </w:rPr>
      </w:pPr>
      <w:r w:rsidRPr="00B1245B">
        <w:rPr>
          <w:rFonts w:ascii="Times New Roman" w:hAnsi="Times New Roman"/>
          <w:b/>
          <w:sz w:val="24"/>
          <w:szCs w:val="24"/>
          <w:lang w:val="hu-HU"/>
        </w:rPr>
        <w:t xml:space="preserve">Megyék </w:t>
      </w:r>
      <w:r w:rsidRPr="00B1245B">
        <w:rPr>
          <w:rFonts w:ascii="Times New Roman" w:hAnsi="Times New Roman"/>
          <w:sz w:val="24"/>
          <w:szCs w:val="24"/>
          <w:lang w:val="hu-HU"/>
        </w:rPr>
        <w:t>és a megyei jogú városok</w:t>
      </w:r>
      <w:r w:rsidRPr="00B1245B">
        <w:rPr>
          <w:rFonts w:ascii="Times New Roman" w:hAnsi="Times New Roman"/>
          <w:b/>
          <w:sz w:val="24"/>
          <w:szCs w:val="24"/>
          <w:lang w:val="hu-HU"/>
        </w:rPr>
        <w:t xml:space="preserve"> </w:t>
      </w:r>
      <w:r w:rsidRPr="00B1245B">
        <w:rPr>
          <w:rFonts w:ascii="Times New Roman" w:hAnsi="Times New Roman"/>
          <w:sz w:val="24"/>
          <w:szCs w:val="24"/>
          <w:lang w:val="hu-HU"/>
        </w:rPr>
        <w:t>az útmutatások alapján</w:t>
      </w:r>
      <w:r w:rsidRPr="00B1245B">
        <w:rPr>
          <w:rFonts w:ascii="Times New Roman" w:hAnsi="Times New Roman"/>
          <w:b/>
          <w:sz w:val="24"/>
          <w:szCs w:val="24"/>
          <w:lang w:val="hu-HU"/>
        </w:rPr>
        <w:t xml:space="preserve"> bocsássák fejlesztési elképzeléseiket a </w:t>
      </w:r>
      <w:r w:rsidRPr="00B1245B">
        <w:rPr>
          <w:rFonts w:ascii="Times New Roman" w:hAnsi="Times New Roman"/>
          <w:sz w:val="24"/>
          <w:szCs w:val="24"/>
          <w:lang w:val="hu-HU"/>
        </w:rPr>
        <w:t xml:space="preserve">nemzetgazdasági, és </w:t>
      </w:r>
      <w:r w:rsidRPr="00B1245B">
        <w:rPr>
          <w:rFonts w:ascii="Times New Roman" w:hAnsi="Times New Roman"/>
          <w:b/>
          <w:sz w:val="24"/>
          <w:szCs w:val="24"/>
          <w:lang w:val="hu-HU"/>
        </w:rPr>
        <w:t>az érintett miniszterek rendelkezésére.</w:t>
      </w:r>
    </w:p>
    <w:p w:rsidR="006E4C06" w:rsidRPr="00B1245B" w:rsidRDefault="006E4C06" w:rsidP="00481EF6">
      <w:pPr>
        <w:numPr>
          <w:ilvl w:val="0"/>
          <w:numId w:val="1"/>
        </w:numPr>
        <w:tabs>
          <w:tab w:val="clear" w:pos="720"/>
          <w:tab w:val="num" w:pos="480"/>
          <w:tab w:val="num" w:pos="840"/>
        </w:tabs>
        <w:autoSpaceDE w:val="0"/>
        <w:autoSpaceDN w:val="0"/>
        <w:adjustRightInd w:val="0"/>
        <w:spacing w:after="0" w:line="240" w:lineRule="auto"/>
        <w:ind w:left="480" w:hanging="338"/>
        <w:jc w:val="both"/>
        <w:rPr>
          <w:rFonts w:ascii="Times New Roman" w:hAnsi="Times New Roman"/>
          <w:b/>
          <w:sz w:val="24"/>
          <w:szCs w:val="24"/>
          <w:lang w:val="hu-HU"/>
        </w:rPr>
      </w:pPr>
      <w:r w:rsidRPr="00B1245B">
        <w:rPr>
          <w:rFonts w:ascii="Times New Roman" w:hAnsi="Times New Roman"/>
          <w:sz w:val="24"/>
          <w:szCs w:val="24"/>
          <w:lang w:val="hu-HU"/>
        </w:rPr>
        <w:t>Irányelvek kidolgozása a várostérségi integrált programok tervezési térségeinek lehatárolására.</w:t>
      </w:r>
    </w:p>
    <w:p w:rsidR="006E4C06" w:rsidRPr="00B1245B" w:rsidRDefault="006E4C06" w:rsidP="00481EF6">
      <w:pPr>
        <w:numPr>
          <w:ilvl w:val="0"/>
          <w:numId w:val="1"/>
        </w:numPr>
        <w:tabs>
          <w:tab w:val="clear" w:pos="720"/>
          <w:tab w:val="num" w:pos="480"/>
          <w:tab w:val="num" w:pos="840"/>
        </w:tabs>
        <w:autoSpaceDE w:val="0"/>
        <w:autoSpaceDN w:val="0"/>
        <w:adjustRightInd w:val="0"/>
        <w:spacing w:after="0" w:line="240" w:lineRule="auto"/>
        <w:ind w:left="480" w:hanging="338"/>
        <w:jc w:val="both"/>
        <w:rPr>
          <w:rFonts w:ascii="Times New Roman" w:hAnsi="Times New Roman"/>
          <w:b/>
          <w:sz w:val="24"/>
          <w:szCs w:val="24"/>
          <w:lang w:val="hu-HU"/>
        </w:rPr>
      </w:pPr>
      <w:r w:rsidRPr="00B1245B">
        <w:rPr>
          <w:rFonts w:ascii="Times New Roman" w:hAnsi="Times New Roman"/>
          <w:b/>
          <w:sz w:val="24"/>
          <w:szCs w:val="24"/>
          <w:lang w:val="hu-HU"/>
        </w:rPr>
        <w:t>Stratégiai megállapodás</w:t>
      </w:r>
      <w:r w:rsidRPr="00B1245B">
        <w:rPr>
          <w:rFonts w:ascii="Times New Roman" w:hAnsi="Times New Roman"/>
          <w:sz w:val="24"/>
          <w:szCs w:val="24"/>
          <w:lang w:val="hu-HU"/>
        </w:rPr>
        <w:t xml:space="preserve"> előkészítése a </w:t>
      </w:r>
      <w:r w:rsidRPr="00B1245B">
        <w:rPr>
          <w:rFonts w:ascii="Times New Roman" w:hAnsi="Times New Roman"/>
          <w:b/>
          <w:sz w:val="24"/>
          <w:szCs w:val="24"/>
          <w:lang w:val="hu-HU"/>
        </w:rPr>
        <w:t>Kormány és a Megyei Önkormányzatok között</w:t>
      </w:r>
      <w:r w:rsidRPr="00B1245B">
        <w:rPr>
          <w:rFonts w:ascii="Times New Roman" w:hAnsi="Times New Roman"/>
          <w:sz w:val="24"/>
          <w:szCs w:val="24"/>
          <w:lang w:val="hu-HU"/>
        </w:rPr>
        <w:t>, az uniós finanszírozású fejlesztések programjának végrehajtásáról.</w:t>
      </w:r>
    </w:p>
    <w:p w:rsidR="006E4C06" w:rsidRPr="00B1245B" w:rsidRDefault="006E4C06" w:rsidP="00481EF6">
      <w:pPr>
        <w:numPr>
          <w:ilvl w:val="0"/>
          <w:numId w:val="1"/>
        </w:numPr>
        <w:tabs>
          <w:tab w:val="clear" w:pos="720"/>
          <w:tab w:val="num" w:pos="480"/>
          <w:tab w:val="num" w:pos="840"/>
        </w:tabs>
        <w:autoSpaceDE w:val="0"/>
        <w:autoSpaceDN w:val="0"/>
        <w:adjustRightInd w:val="0"/>
        <w:spacing w:after="0" w:line="240" w:lineRule="auto"/>
        <w:ind w:left="480" w:hanging="338"/>
        <w:jc w:val="both"/>
        <w:rPr>
          <w:rFonts w:ascii="Times New Roman" w:hAnsi="Times New Roman"/>
          <w:sz w:val="24"/>
          <w:szCs w:val="24"/>
          <w:lang w:val="hu-HU"/>
        </w:rPr>
      </w:pPr>
      <w:r w:rsidRPr="00B1245B">
        <w:rPr>
          <w:rFonts w:ascii="Times New Roman" w:hAnsi="Times New Roman"/>
          <w:sz w:val="24"/>
          <w:szCs w:val="24"/>
          <w:lang w:val="hu-HU"/>
        </w:rPr>
        <w:t>Javaslattétel a közösségvezérelt helyi fejlesztések alkalmazásának módjára és az ehhez szükséges feltételek biztosítására.</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autoSpaceDE w:val="0"/>
        <w:autoSpaceDN w:val="0"/>
        <w:adjustRightInd w:val="0"/>
        <w:spacing w:after="0" w:line="240" w:lineRule="auto"/>
        <w:jc w:val="both"/>
        <w:rPr>
          <w:rFonts w:ascii="Times New Roman" w:hAnsi="Times New Roman"/>
          <w:i/>
          <w:sz w:val="24"/>
          <w:szCs w:val="24"/>
          <w:lang w:val="hu-HU"/>
        </w:rPr>
      </w:pPr>
      <w:r w:rsidRPr="00B1245B">
        <w:rPr>
          <w:rFonts w:ascii="Times New Roman" w:hAnsi="Times New Roman"/>
          <w:sz w:val="24"/>
          <w:szCs w:val="24"/>
          <w:lang w:val="hu-HU"/>
        </w:rPr>
        <w:t xml:space="preserve">A tervezési munka során „a területfejlesztési koncepció, a területfejlesztési program és a területrendezési terv tartalmi követelményeiről, valamint illeszkedésük, kidolgozásuk, egyeztetésük, elfogadásuk és közzétételük részletes szabályairól” szóló </w:t>
      </w:r>
      <w:r w:rsidRPr="00B1245B">
        <w:rPr>
          <w:rFonts w:ascii="Times New Roman" w:hAnsi="Times New Roman"/>
          <w:b/>
          <w:sz w:val="24"/>
          <w:szCs w:val="24"/>
          <w:lang w:val="hu-HU"/>
        </w:rPr>
        <w:t>218/2009. (X.6.) Korm. rendelet</w:t>
      </w:r>
      <w:r w:rsidRPr="00B1245B">
        <w:rPr>
          <w:rFonts w:ascii="Times New Roman" w:hAnsi="Times New Roman"/>
          <w:sz w:val="24"/>
          <w:szCs w:val="24"/>
          <w:lang w:val="hu-HU"/>
        </w:rPr>
        <w:t xml:space="preserve">ben meghatározottak követendők. A rendelet 12. § (1), (2) és (4) bekezdése alapján </w:t>
      </w:r>
      <w:r w:rsidRPr="00B1245B">
        <w:rPr>
          <w:rFonts w:ascii="Times New Roman" w:hAnsi="Times New Roman"/>
          <w:i/>
          <w:sz w:val="24"/>
          <w:szCs w:val="24"/>
          <w:lang w:val="hu-HU"/>
        </w:rPr>
        <w:t xml:space="preserve">„a megye területfejlesztési koncepciója előkészítő és javaslattevő fázisból áll. Az előkészítő fázisban rendszerezni és értékelni kell a fejlesztésre ható tényezőket, valamint vizsgálni kell a fejlesztés lehetséges irányait. Az előkészítő fázis részét képezi a területfejlesztési partnerségi terv végrehajtása és a helyzetértékelés. A területfejlesztési koncepció elfogadására jogosult megyei </w:t>
      </w:r>
      <w:proofErr w:type="gramStart"/>
      <w:r w:rsidRPr="00B1245B">
        <w:rPr>
          <w:rFonts w:ascii="Times New Roman" w:hAnsi="Times New Roman"/>
          <w:i/>
          <w:sz w:val="24"/>
          <w:szCs w:val="24"/>
          <w:lang w:val="hu-HU"/>
        </w:rPr>
        <w:t>önkormányzat …</w:t>
      </w:r>
      <w:proofErr w:type="gramEnd"/>
      <w:r w:rsidRPr="00B1245B">
        <w:rPr>
          <w:rFonts w:ascii="Times New Roman" w:hAnsi="Times New Roman"/>
          <w:i/>
          <w:sz w:val="24"/>
          <w:szCs w:val="24"/>
          <w:lang w:val="hu-HU"/>
        </w:rPr>
        <w:t xml:space="preserve"> dönt arról, hogy az … előkészítő fázis elkészült munkarészei megfelelnek-e a további tervezés alapjául.”</w:t>
      </w: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b/>
          <w:sz w:val="24"/>
          <w:szCs w:val="24"/>
          <w:u w:val="single"/>
          <w:lang w:val="hu-HU"/>
        </w:rPr>
      </w:pPr>
      <w:r w:rsidRPr="00B1245B">
        <w:rPr>
          <w:rFonts w:ascii="Times New Roman" w:hAnsi="Times New Roman"/>
          <w:b/>
          <w:sz w:val="24"/>
          <w:szCs w:val="24"/>
          <w:u w:val="single"/>
          <w:lang w:val="hu-HU"/>
        </w:rPr>
        <w:t>A végrehajtást befolyásoló hazai jogszabályok (a tervezéshez kapcsolódóan)</w:t>
      </w: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pStyle w:val="Nincstrkz"/>
        <w:jc w:val="both"/>
        <w:rPr>
          <w:rFonts w:ascii="Times New Roman" w:hAnsi="Times New Roman"/>
          <w:sz w:val="24"/>
          <w:szCs w:val="24"/>
          <w:lang w:val="hu-HU"/>
        </w:rPr>
      </w:pPr>
      <w:r w:rsidRPr="00B1245B">
        <w:rPr>
          <w:rFonts w:ascii="Times New Roman" w:hAnsi="Times New Roman"/>
          <w:sz w:val="24"/>
          <w:szCs w:val="24"/>
          <w:lang w:val="hu-HU"/>
        </w:rPr>
        <w:t>A végrehajtásban közreműködő szervezetek a Partnerségi Terv és a releváns jogszabályok alapján kerülnek kiválasztásra. A releváns jogszabályok alapján közreműködő szervezetek már a megyei területfejlesztési program kidolgozása során kiválasztásra kerülnek. A Partnerségi Terv alapján közreműködő partneri szervezetek a megyei területfejlesztési program elfogadását követően kidolgozásra kerülő Partnerségi Programban kerülnek megnevezésre.</w:t>
      </w:r>
    </w:p>
    <w:p w:rsidR="006E4C06" w:rsidRPr="00B1245B" w:rsidRDefault="006E4C06" w:rsidP="00481EF6">
      <w:pPr>
        <w:pStyle w:val="Nincstrkz"/>
        <w:jc w:val="both"/>
        <w:rPr>
          <w:rFonts w:ascii="Times New Roman" w:hAnsi="Times New Roman"/>
          <w:sz w:val="24"/>
          <w:szCs w:val="24"/>
          <w:lang w:val="hu-HU"/>
        </w:rPr>
      </w:pPr>
      <w:r w:rsidRPr="00B1245B">
        <w:rPr>
          <w:rFonts w:ascii="Times New Roman" w:hAnsi="Times New Roman"/>
          <w:sz w:val="24"/>
          <w:szCs w:val="24"/>
          <w:lang w:val="hu-HU"/>
        </w:rPr>
        <w:t>A releváns jogszabályok alapján a végrehajtásban közreműködő szervezetek a következők:</w:t>
      </w:r>
    </w:p>
    <w:p w:rsidR="006E4C06" w:rsidRPr="00B1245B" w:rsidRDefault="006E4C06" w:rsidP="00481EF6">
      <w:pPr>
        <w:pStyle w:val="Nincstrkz"/>
        <w:numPr>
          <w:ilvl w:val="0"/>
          <w:numId w:val="4"/>
        </w:numPr>
        <w:jc w:val="both"/>
        <w:rPr>
          <w:rFonts w:ascii="Times New Roman" w:hAnsi="Times New Roman"/>
          <w:sz w:val="24"/>
          <w:szCs w:val="24"/>
          <w:lang w:val="hu-HU"/>
        </w:rPr>
      </w:pPr>
      <w:r w:rsidRPr="00B1245B">
        <w:rPr>
          <w:rFonts w:ascii="Times New Roman" w:hAnsi="Times New Roman"/>
          <w:sz w:val="24"/>
          <w:szCs w:val="24"/>
          <w:lang w:val="hu-HU"/>
        </w:rPr>
        <w:t>megyei önkormányzat (1996. évi XXI. törvény) (területfejlesztési törvény)</w:t>
      </w:r>
    </w:p>
    <w:p w:rsidR="006E4C06" w:rsidRPr="00B1245B" w:rsidRDefault="006E4C06" w:rsidP="00481EF6">
      <w:pPr>
        <w:pStyle w:val="Nincstrkz"/>
        <w:numPr>
          <w:ilvl w:val="0"/>
          <w:numId w:val="4"/>
        </w:numPr>
        <w:jc w:val="both"/>
        <w:rPr>
          <w:rFonts w:ascii="Times New Roman" w:hAnsi="Times New Roman"/>
          <w:sz w:val="24"/>
          <w:szCs w:val="24"/>
          <w:lang w:val="hu-HU"/>
        </w:rPr>
      </w:pPr>
      <w:r w:rsidRPr="00B1245B">
        <w:rPr>
          <w:rFonts w:ascii="Times New Roman" w:hAnsi="Times New Roman"/>
          <w:sz w:val="24"/>
          <w:szCs w:val="24"/>
          <w:lang w:val="hu-HU"/>
        </w:rPr>
        <w:t>térségi fejlesztési tanács (1996. évi XXI. törvény) (területfejlesztési törvény)</w:t>
      </w:r>
    </w:p>
    <w:p w:rsidR="006E4C06" w:rsidRPr="00B1245B" w:rsidRDefault="006E4C06" w:rsidP="00481EF6">
      <w:pPr>
        <w:pStyle w:val="Nincstrkz"/>
        <w:numPr>
          <w:ilvl w:val="0"/>
          <w:numId w:val="4"/>
        </w:numPr>
        <w:jc w:val="both"/>
        <w:rPr>
          <w:rFonts w:ascii="Times New Roman" w:hAnsi="Times New Roman"/>
          <w:sz w:val="24"/>
          <w:szCs w:val="24"/>
          <w:lang w:val="hu-HU"/>
        </w:rPr>
      </w:pPr>
      <w:r w:rsidRPr="00B1245B">
        <w:rPr>
          <w:rFonts w:ascii="Times New Roman" w:hAnsi="Times New Roman"/>
          <w:sz w:val="24"/>
          <w:szCs w:val="24"/>
          <w:lang w:val="hu-HU"/>
        </w:rPr>
        <w:t>regionális fejlesztési ügynökség (1996. évi XXI. törvény) (területfejlesztési törvény)</w:t>
      </w:r>
    </w:p>
    <w:p w:rsidR="006E4C06" w:rsidRPr="00B1245B" w:rsidRDefault="006E4C06" w:rsidP="00481EF6">
      <w:pPr>
        <w:pStyle w:val="Nincstrkz"/>
        <w:numPr>
          <w:ilvl w:val="0"/>
          <w:numId w:val="4"/>
        </w:numPr>
        <w:jc w:val="both"/>
        <w:rPr>
          <w:rFonts w:ascii="Times New Roman" w:hAnsi="Times New Roman"/>
          <w:sz w:val="24"/>
          <w:szCs w:val="24"/>
          <w:lang w:val="hu-HU"/>
        </w:rPr>
      </w:pPr>
      <w:r w:rsidRPr="00B1245B">
        <w:rPr>
          <w:rFonts w:ascii="Times New Roman" w:hAnsi="Times New Roman"/>
          <w:sz w:val="24"/>
          <w:szCs w:val="24"/>
          <w:lang w:val="hu-HU"/>
        </w:rPr>
        <w:t>gazdasági kamarák (1999. évi CXXI. törvény) (kamarai törvény)</w:t>
      </w:r>
    </w:p>
    <w:p w:rsidR="006E4C06" w:rsidRPr="00B1245B" w:rsidRDefault="006E4C06" w:rsidP="00481EF6">
      <w:pPr>
        <w:pStyle w:val="Nincstrkz"/>
        <w:jc w:val="both"/>
        <w:rPr>
          <w:rFonts w:ascii="Times New Roman" w:hAnsi="Times New Roman"/>
          <w:sz w:val="24"/>
          <w:szCs w:val="24"/>
          <w:lang w:val="hu-HU"/>
        </w:rPr>
      </w:pPr>
    </w:p>
    <w:p w:rsidR="006E4C06" w:rsidRPr="00B1245B" w:rsidRDefault="006E4C06" w:rsidP="00481EF6">
      <w:pPr>
        <w:pStyle w:val="Nincstrkz"/>
        <w:jc w:val="both"/>
        <w:rPr>
          <w:rFonts w:ascii="Times New Roman" w:hAnsi="Times New Roman"/>
          <w:b/>
          <w:sz w:val="24"/>
          <w:szCs w:val="24"/>
          <w:lang w:val="hu-HU"/>
        </w:rPr>
      </w:pPr>
      <w:r w:rsidRPr="00B1245B">
        <w:rPr>
          <w:rFonts w:ascii="Times New Roman" w:hAnsi="Times New Roman"/>
          <w:b/>
          <w:sz w:val="24"/>
          <w:szCs w:val="24"/>
          <w:lang w:val="hu-HU"/>
        </w:rPr>
        <w:t>218/2009. (X. 6.) Kormányrendelet a területfejlesztési koncepció, a területfejlesztési program és a területrendezési terv tartalmi követelményeiről, valamint illeszkedésük, kidolgozásuk, egyeztetésük, elfogadásuk és közzétételük részletes szabályairól.</w:t>
      </w:r>
    </w:p>
    <w:p w:rsidR="006E4C06" w:rsidRPr="00B1245B" w:rsidRDefault="006E4C06" w:rsidP="00481EF6">
      <w:pPr>
        <w:pStyle w:val="Nincstrkz"/>
        <w:jc w:val="both"/>
        <w:rPr>
          <w:rFonts w:ascii="Times New Roman" w:hAnsi="Times New Roman"/>
          <w:sz w:val="24"/>
          <w:szCs w:val="24"/>
          <w:lang w:val="hu-HU"/>
        </w:rPr>
      </w:pPr>
      <w:r w:rsidRPr="00B1245B">
        <w:rPr>
          <w:rFonts w:ascii="Times New Roman" w:hAnsi="Times New Roman"/>
          <w:b/>
          <w:bCs/>
          <w:sz w:val="24"/>
          <w:szCs w:val="24"/>
          <w:lang w:val="hu-HU"/>
        </w:rPr>
        <w:t xml:space="preserve">13. § </w:t>
      </w:r>
      <w:bookmarkStart w:id="0" w:name="pr85"/>
      <w:bookmarkEnd w:id="0"/>
      <w:r w:rsidRPr="00B1245B">
        <w:rPr>
          <w:rFonts w:ascii="Times New Roman" w:hAnsi="Times New Roman"/>
          <w:sz w:val="24"/>
          <w:szCs w:val="24"/>
          <w:lang w:val="hu-HU"/>
        </w:rPr>
        <w:t xml:space="preserve">(3) A partnerségi program a területfejlesztési programok végrehajtása során meghatározza az </w:t>
      </w:r>
      <w:r w:rsidRPr="00B1245B">
        <w:rPr>
          <w:rFonts w:ascii="Times New Roman" w:hAnsi="Times New Roman"/>
          <w:sz w:val="24"/>
          <w:szCs w:val="24"/>
          <w:u w:val="single"/>
          <w:lang w:val="hu-HU"/>
        </w:rPr>
        <w:t>állampolgárok</w:t>
      </w:r>
      <w:r w:rsidRPr="00B1245B">
        <w:rPr>
          <w:rFonts w:ascii="Times New Roman" w:hAnsi="Times New Roman"/>
          <w:sz w:val="24"/>
          <w:szCs w:val="24"/>
          <w:lang w:val="hu-HU"/>
        </w:rPr>
        <w:t xml:space="preserve"> és a </w:t>
      </w:r>
      <w:r w:rsidRPr="00B1245B">
        <w:rPr>
          <w:rFonts w:ascii="Times New Roman" w:hAnsi="Times New Roman"/>
          <w:sz w:val="24"/>
          <w:szCs w:val="24"/>
          <w:u w:val="single"/>
          <w:lang w:val="hu-HU"/>
        </w:rPr>
        <w:t>szakmai közösségek</w:t>
      </w:r>
      <w:r w:rsidRPr="00B1245B">
        <w:rPr>
          <w:rFonts w:ascii="Times New Roman" w:hAnsi="Times New Roman"/>
          <w:sz w:val="24"/>
          <w:szCs w:val="24"/>
          <w:lang w:val="hu-HU"/>
        </w:rPr>
        <w:t xml:space="preserve"> részvételének szabályait.</w:t>
      </w:r>
    </w:p>
    <w:p w:rsidR="006E4C06" w:rsidRPr="00B1245B" w:rsidRDefault="006E4C06" w:rsidP="00481EF6">
      <w:pPr>
        <w:pStyle w:val="Nincstrkz"/>
        <w:jc w:val="both"/>
        <w:rPr>
          <w:rFonts w:ascii="Times New Roman" w:hAnsi="Times New Roman"/>
          <w:sz w:val="24"/>
          <w:szCs w:val="24"/>
          <w:lang w:val="hu-HU"/>
        </w:rPr>
      </w:pPr>
    </w:p>
    <w:p w:rsidR="006E4C06" w:rsidRPr="00B1245B" w:rsidRDefault="006E4C06" w:rsidP="00481EF6">
      <w:pPr>
        <w:pStyle w:val="Nincstrkz"/>
        <w:jc w:val="both"/>
        <w:rPr>
          <w:rFonts w:ascii="Times New Roman" w:hAnsi="Times New Roman"/>
          <w:b/>
          <w:sz w:val="24"/>
          <w:szCs w:val="24"/>
          <w:lang w:val="hu-HU" w:eastAsia="hu-HU"/>
        </w:rPr>
      </w:pPr>
      <w:r w:rsidRPr="00B1245B">
        <w:rPr>
          <w:rFonts w:ascii="Times New Roman" w:hAnsi="Times New Roman"/>
          <w:b/>
          <w:sz w:val="24"/>
          <w:szCs w:val="24"/>
          <w:lang w:val="hu-HU" w:eastAsia="hu-HU"/>
        </w:rPr>
        <w:t>1996. évi XXI. törvény a területfejlesztésről és a területrendezésről.</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b/>
          <w:bCs/>
          <w:sz w:val="24"/>
          <w:szCs w:val="24"/>
          <w:lang w:val="hu-HU" w:eastAsia="hu-HU"/>
        </w:rPr>
        <w:t xml:space="preserve">13. § </w:t>
      </w:r>
      <w:r w:rsidRPr="00B1245B">
        <w:rPr>
          <w:rFonts w:ascii="Times New Roman" w:hAnsi="Times New Roman"/>
          <w:bCs/>
          <w:sz w:val="24"/>
          <w:szCs w:val="24"/>
          <w:lang w:val="hu-HU" w:eastAsia="hu-HU"/>
        </w:rPr>
        <w:t>(2</w:t>
      </w:r>
      <w:r w:rsidRPr="00B1245B">
        <w:rPr>
          <w:rFonts w:ascii="Times New Roman" w:hAnsi="Times New Roman"/>
          <w:sz w:val="24"/>
          <w:szCs w:val="24"/>
          <w:lang w:val="hu-HU" w:eastAsia="hu-HU"/>
        </w:rPr>
        <w:t xml:space="preserve">) A </w:t>
      </w:r>
      <w:r w:rsidRPr="00B1245B">
        <w:rPr>
          <w:rFonts w:ascii="Times New Roman" w:hAnsi="Times New Roman"/>
          <w:sz w:val="24"/>
          <w:szCs w:val="24"/>
          <w:u w:val="single"/>
          <w:lang w:val="hu-HU" w:eastAsia="hu-HU"/>
        </w:rPr>
        <w:t>megyei önkormányzat</w:t>
      </w:r>
      <w:r w:rsidRPr="00B1245B">
        <w:rPr>
          <w:rFonts w:ascii="Times New Roman" w:hAnsi="Times New Roman"/>
          <w:sz w:val="24"/>
          <w:szCs w:val="24"/>
          <w:lang w:val="hu-HU" w:eastAsia="hu-HU"/>
        </w:rPr>
        <w:t xml:space="preserve"> a megye területén összehangolja a kormányzat, az önkormányzatok és a gazdasági szervezetek fejlesztési elképzeléseit, ennek keretében:</w:t>
      </w:r>
    </w:p>
    <w:p w:rsidR="006E4C06" w:rsidRPr="00B1245B" w:rsidRDefault="006E4C06" w:rsidP="00481EF6">
      <w:pPr>
        <w:pStyle w:val="Nincstrkz"/>
        <w:ind w:firstLine="142"/>
        <w:jc w:val="both"/>
        <w:rPr>
          <w:rFonts w:ascii="Times New Roman" w:hAnsi="Times New Roman"/>
          <w:sz w:val="24"/>
          <w:szCs w:val="24"/>
          <w:lang w:val="hu-HU" w:eastAsia="hu-HU"/>
        </w:rPr>
      </w:pPr>
      <w:proofErr w:type="gramStart"/>
      <w:r w:rsidRPr="00B1245B">
        <w:rPr>
          <w:rFonts w:ascii="Times New Roman" w:hAnsi="Times New Roman"/>
          <w:i/>
          <w:iCs/>
          <w:sz w:val="24"/>
          <w:szCs w:val="24"/>
          <w:lang w:val="hu-HU" w:eastAsia="hu-HU"/>
        </w:rPr>
        <w:t>g</w:t>
      </w:r>
      <w:proofErr w:type="gramEnd"/>
      <w:r w:rsidRPr="00B1245B">
        <w:rPr>
          <w:rFonts w:ascii="Times New Roman" w:hAnsi="Times New Roman"/>
          <w:i/>
          <w:iCs/>
          <w:sz w:val="24"/>
          <w:szCs w:val="24"/>
          <w:lang w:val="hu-HU" w:eastAsia="hu-HU"/>
        </w:rPr>
        <w:t>)</w:t>
      </w:r>
      <w:r w:rsidRPr="00B1245B">
        <w:rPr>
          <w:rFonts w:ascii="Times New Roman" w:hAnsi="Times New Roman"/>
          <w:sz w:val="24"/>
          <w:szCs w:val="24"/>
          <w:lang w:val="hu-HU" w:eastAsia="hu-HU"/>
        </w:rPr>
        <w:t xml:space="preserve"> figyelemmel kíséri az operatív programok megyében jelentkező feladatainak megvalósítását, külön döntés alapján közreműködik azok végrehajtásában;</w:t>
      </w:r>
    </w:p>
    <w:p w:rsidR="006E4C06" w:rsidRPr="00B1245B" w:rsidRDefault="006E4C06" w:rsidP="00481EF6">
      <w:pPr>
        <w:pStyle w:val="Nincstrkz"/>
        <w:ind w:firstLine="142"/>
        <w:jc w:val="both"/>
        <w:rPr>
          <w:rFonts w:ascii="Times New Roman" w:hAnsi="Times New Roman"/>
          <w:sz w:val="24"/>
          <w:szCs w:val="24"/>
          <w:lang w:val="hu-HU" w:eastAsia="hu-HU"/>
        </w:rPr>
      </w:pPr>
      <w:proofErr w:type="gramStart"/>
      <w:r w:rsidRPr="00B1245B">
        <w:rPr>
          <w:rFonts w:ascii="Times New Roman" w:hAnsi="Times New Roman"/>
          <w:i/>
          <w:iCs/>
          <w:sz w:val="24"/>
          <w:szCs w:val="24"/>
          <w:lang w:val="hu-HU" w:eastAsia="hu-HU"/>
        </w:rPr>
        <w:t>h</w:t>
      </w:r>
      <w:proofErr w:type="gramEnd"/>
      <w:r w:rsidRPr="00B1245B">
        <w:rPr>
          <w:rFonts w:ascii="Times New Roman" w:hAnsi="Times New Roman"/>
          <w:i/>
          <w:iCs/>
          <w:sz w:val="24"/>
          <w:szCs w:val="24"/>
          <w:lang w:val="hu-HU" w:eastAsia="hu-HU"/>
        </w:rPr>
        <w:t>)</w:t>
      </w:r>
      <w:r w:rsidRPr="00B1245B">
        <w:rPr>
          <w:rFonts w:ascii="Times New Roman" w:hAnsi="Times New Roman"/>
          <w:sz w:val="24"/>
          <w:szCs w:val="24"/>
          <w:lang w:val="hu-HU" w:eastAsia="hu-HU"/>
        </w:rPr>
        <w:t xml:space="preserve"> előzetesen véleményezi és koordinálja az illetékes területi államigazgatási szervek megyét érintő fejlesztéseit és pályázatait;</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i/>
          <w:iCs/>
          <w:sz w:val="24"/>
          <w:szCs w:val="24"/>
          <w:lang w:val="hu-HU" w:eastAsia="hu-HU"/>
        </w:rPr>
        <w:t>j)</w:t>
      </w:r>
      <w:r w:rsidRPr="00B1245B">
        <w:rPr>
          <w:rFonts w:ascii="Times New Roman" w:hAnsi="Times New Roman"/>
          <w:sz w:val="24"/>
          <w:szCs w:val="24"/>
          <w:lang w:val="hu-HU" w:eastAsia="hu-HU"/>
        </w:rPr>
        <w:t xml:space="preserve"> közreműködik a területfejlesztési programok végrehajtásának nyomon követésében és értékelésében;</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i/>
          <w:iCs/>
          <w:sz w:val="24"/>
          <w:szCs w:val="24"/>
          <w:lang w:val="hu-HU" w:eastAsia="hu-HU"/>
        </w:rPr>
        <w:t>k)</w:t>
      </w:r>
      <w:r w:rsidRPr="00B1245B">
        <w:rPr>
          <w:rFonts w:ascii="Times New Roman" w:hAnsi="Times New Roman"/>
          <w:sz w:val="24"/>
          <w:szCs w:val="24"/>
          <w:lang w:val="hu-HU" w:eastAsia="hu-HU"/>
        </w:rPr>
        <w:t xml:space="preserve"> a tervezés és a végrehajtás során gondoskodik a partnerség elvének érvényesítéséről.</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b/>
          <w:bCs/>
          <w:sz w:val="24"/>
          <w:szCs w:val="24"/>
          <w:lang w:val="hu-HU" w:eastAsia="hu-HU"/>
        </w:rPr>
        <w:t>15. §</w:t>
      </w:r>
      <w:bookmarkStart w:id="1" w:name="foot_91_place"/>
      <w:r w:rsidR="0057028F" w:rsidRPr="00B1245B">
        <w:rPr>
          <w:rFonts w:ascii="Times New Roman" w:hAnsi="Times New Roman"/>
          <w:b/>
          <w:bCs/>
          <w:sz w:val="24"/>
          <w:szCs w:val="24"/>
          <w:vertAlign w:val="superscript"/>
          <w:lang w:val="hu-HU" w:eastAsia="hu-HU"/>
        </w:rPr>
        <w:fldChar w:fldCharType="begin"/>
      </w:r>
      <w:r w:rsidRPr="00B1245B">
        <w:rPr>
          <w:rFonts w:ascii="Times New Roman" w:hAnsi="Times New Roman"/>
          <w:b/>
          <w:bCs/>
          <w:sz w:val="24"/>
          <w:szCs w:val="24"/>
          <w:vertAlign w:val="superscript"/>
          <w:lang w:val="hu-HU" w:eastAsia="hu-HU"/>
        </w:rPr>
        <w:instrText xml:space="preserve"> HYPERLINK "http://jogszabalykereso.mhk.hu/cgi_bin/njt_doc.cgi?docid=25619.582531" \l "foot91" </w:instrText>
      </w:r>
      <w:r w:rsidR="0057028F" w:rsidRPr="00B1245B">
        <w:rPr>
          <w:rFonts w:ascii="Times New Roman" w:hAnsi="Times New Roman"/>
          <w:b/>
          <w:bCs/>
          <w:sz w:val="24"/>
          <w:szCs w:val="24"/>
          <w:vertAlign w:val="superscript"/>
          <w:lang w:val="hu-HU" w:eastAsia="hu-HU"/>
        </w:rPr>
        <w:fldChar w:fldCharType="separate"/>
      </w:r>
      <w:r w:rsidRPr="00B1245B">
        <w:rPr>
          <w:rFonts w:ascii="Times New Roman" w:hAnsi="Times New Roman"/>
          <w:b/>
          <w:bCs/>
          <w:color w:val="FFFFFF"/>
          <w:sz w:val="24"/>
          <w:szCs w:val="24"/>
          <w:vertAlign w:val="superscript"/>
          <w:lang w:val="hu-HU" w:eastAsia="hu-HU"/>
        </w:rPr>
        <w:t>91</w:t>
      </w:r>
      <w:r w:rsidR="0057028F" w:rsidRPr="00B1245B">
        <w:rPr>
          <w:rFonts w:ascii="Times New Roman" w:hAnsi="Times New Roman"/>
          <w:b/>
          <w:bCs/>
          <w:sz w:val="24"/>
          <w:szCs w:val="24"/>
          <w:vertAlign w:val="superscript"/>
          <w:lang w:val="hu-HU" w:eastAsia="hu-HU"/>
        </w:rPr>
        <w:fldChar w:fldCharType="end"/>
      </w:r>
      <w:bookmarkEnd w:id="1"/>
      <w:r w:rsidRPr="00B1245B">
        <w:rPr>
          <w:rFonts w:ascii="Times New Roman" w:hAnsi="Times New Roman"/>
          <w:sz w:val="24"/>
          <w:szCs w:val="24"/>
          <w:lang w:val="hu-HU" w:eastAsia="hu-HU"/>
        </w:rPr>
        <w:t xml:space="preserve"> (1)</w:t>
      </w:r>
      <w:bookmarkStart w:id="2" w:name="foot_92_place"/>
      <w:r w:rsidR="0057028F" w:rsidRPr="00B1245B">
        <w:rPr>
          <w:rFonts w:ascii="Times New Roman" w:hAnsi="Times New Roman"/>
          <w:sz w:val="24"/>
          <w:szCs w:val="24"/>
          <w:vertAlign w:val="superscript"/>
          <w:lang w:val="hu-HU" w:eastAsia="hu-HU"/>
        </w:rPr>
        <w:fldChar w:fldCharType="begin"/>
      </w:r>
      <w:r w:rsidRPr="00B1245B">
        <w:rPr>
          <w:rFonts w:ascii="Times New Roman" w:hAnsi="Times New Roman"/>
          <w:sz w:val="24"/>
          <w:szCs w:val="24"/>
          <w:vertAlign w:val="superscript"/>
          <w:lang w:val="hu-HU" w:eastAsia="hu-HU"/>
        </w:rPr>
        <w:instrText xml:space="preserve"> HYPERLINK "http://jogszabalykereso.mhk.hu/cgi_bin/njt_doc.cgi?docid=25619.582531" \l "foot92" </w:instrText>
      </w:r>
      <w:r w:rsidR="0057028F" w:rsidRPr="00B1245B">
        <w:rPr>
          <w:rFonts w:ascii="Times New Roman" w:hAnsi="Times New Roman"/>
          <w:sz w:val="24"/>
          <w:szCs w:val="24"/>
          <w:vertAlign w:val="superscript"/>
          <w:lang w:val="hu-HU" w:eastAsia="hu-HU"/>
        </w:rPr>
        <w:fldChar w:fldCharType="separate"/>
      </w:r>
      <w:r w:rsidRPr="00B1245B">
        <w:rPr>
          <w:rFonts w:ascii="Times New Roman" w:hAnsi="Times New Roman"/>
          <w:color w:val="FFFFFF"/>
          <w:sz w:val="24"/>
          <w:szCs w:val="24"/>
          <w:vertAlign w:val="superscript"/>
          <w:lang w:val="hu-HU" w:eastAsia="hu-HU"/>
        </w:rPr>
        <w:t>92</w:t>
      </w:r>
      <w:r w:rsidR="0057028F" w:rsidRPr="00B1245B">
        <w:rPr>
          <w:rFonts w:ascii="Times New Roman" w:hAnsi="Times New Roman"/>
          <w:sz w:val="24"/>
          <w:szCs w:val="24"/>
          <w:vertAlign w:val="superscript"/>
          <w:lang w:val="hu-HU" w:eastAsia="hu-HU"/>
        </w:rPr>
        <w:fldChar w:fldCharType="end"/>
      </w:r>
      <w:bookmarkEnd w:id="2"/>
      <w:r w:rsidRPr="00B1245B">
        <w:rPr>
          <w:rFonts w:ascii="Times New Roman" w:hAnsi="Times New Roman"/>
          <w:sz w:val="24"/>
          <w:szCs w:val="24"/>
          <w:lang w:val="hu-HU" w:eastAsia="hu-HU"/>
        </w:rPr>
        <w:t xml:space="preserve"> </w:t>
      </w:r>
      <w:proofErr w:type="gramStart"/>
      <w:r w:rsidRPr="00B1245B">
        <w:rPr>
          <w:rFonts w:ascii="Times New Roman" w:hAnsi="Times New Roman"/>
          <w:sz w:val="24"/>
          <w:szCs w:val="24"/>
          <w:lang w:val="hu-HU" w:eastAsia="hu-HU"/>
        </w:rPr>
        <w:t>A …</w:t>
      </w:r>
      <w:proofErr w:type="gramEnd"/>
      <w:r w:rsidRPr="00B1245B">
        <w:rPr>
          <w:rFonts w:ascii="Times New Roman" w:hAnsi="Times New Roman"/>
          <w:sz w:val="24"/>
          <w:szCs w:val="24"/>
          <w:lang w:val="hu-HU" w:eastAsia="hu-HU"/>
        </w:rPr>
        <w:t xml:space="preserve"> megyei közgyűlések … </w:t>
      </w:r>
      <w:r w:rsidRPr="00B1245B">
        <w:rPr>
          <w:rFonts w:ascii="Times New Roman" w:hAnsi="Times New Roman"/>
          <w:sz w:val="24"/>
          <w:szCs w:val="24"/>
          <w:u w:val="single"/>
          <w:lang w:val="hu-HU" w:eastAsia="hu-HU"/>
        </w:rPr>
        <w:t>térségi fejlesztési tanácsot</w:t>
      </w:r>
      <w:r w:rsidRPr="00B1245B">
        <w:rPr>
          <w:rFonts w:ascii="Times New Roman" w:hAnsi="Times New Roman"/>
          <w:sz w:val="24"/>
          <w:szCs w:val="24"/>
          <w:lang w:val="hu-HU" w:eastAsia="hu-HU"/>
        </w:rPr>
        <w:t xml:space="preserve"> hozhatnak létre. … </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sz w:val="24"/>
          <w:szCs w:val="24"/>
          <w:lang w:val="hu-HU" w:eastAsia="hu-HU"/>
        </w:rPr>
        <w:t>(3)</w:t>
      </w:r>
      <w:bookmarkStart w:id="3" w:name="foot_94_place"/>
      <w:r w:rsidR="0057028F" w:rsidRPr="00B1245B">
        <w:rPr>
          <w:rFonts w:ascii="Times New Roman" w:hAnsi="Times New Roman"/>
          <w:sz w:val="24"/>
          <w:szCs w:val="24"/>
          <w:vertAlign w:val="superscript"/>
          <w:lang w:val="hu-HU" w:eastAsia="hu-HU"/>
        </w:rPr>
        <w:fldChar w:fldCharType="begin"/>
      </w:r>
      <w:r w:rsidRPr="00B1245B">
        <w:rPr>
          <w:rFonts w:ascii="Times New Roman" w:hAnsi="Times New Roman"/>
          <w:sz w:val="24"/>
          <w:szCs w:val="24"/>
          <w:vertAlign w:val="superscript"/>
          <w:lang w:val="hu-HU" w:eastAsia="hu-HU"/>
        </w:rPr>
        <w:instrText xml:space="preserve"> HYPERLINK "http://jogszabalykereso.mhk.hu/cgi_bin/njt_doc.cgi?docid=25619.582531" \l "foot94" </w:instrText>
      </w:r>
      <w:r w:rsidR="0057028F" w:rsidRPr="00B1245B">
        <w:rPr>
          <w:rFonts w:ascii="Times New Roman" w:hAnsi="Times New Roman"/>
          <w:sz w:val="24"/>
          <w:szCs w:val="24"/>
          <w:vertAlign w:val="superscript"/>
          <w:lang w:val="hu-HU" w:eastAsia="hu-HU"/>
        </w:rPr>
        <w:fldChar w:fldCharType="separate"/>
      </w:r>
      <w:r w:rsidRPr="00B1245B">
        <w:rPr>
          <w:rFonts w:ascii="Times New Roman" w:hAnsi="Times New Roman"/>
          <w:color w:val="FFFFFF"/>
          <w:sz w:val="24"/>
          <w:szCs w:val="24"/>
          <w:vertAlign w:val="superscript"/>
          <w:lang w:val="hu-HU" w:eastAsia="hu-HU"/>
        </w:rPr>
        <w:t>94</w:t>
      </w:r>
      <w:r w:rsidR="0057028F" w:rsidRPr="00B1245B">
        <w:rPr>
          <w:rFonts w:ascii="Times New Roman" w:hAnsi="Times New Roman"/>
          <w:sz w:val="24"/>
          <w:szCs w:val="24"/>
          <w:vertAlign w:val="superscript"/>
          <w:lang w:val="hu-HU" w:eastAsia="hu-HU"/>
        </w:rPr>
        <w:fldChar w:fldCharType="end"/>
      </w:r>
      <w:bookmarkEnd w:id="3"/>
      <w:r w:rsidRPr="00B1245B">
        <w:rPr>
          <w:rFonts w:ascii="Times New Roman" w:hAnsi="Times New Roman"/>
          <w:sz w:val="24"/>
          <w:szCs w:val="24"/>
          <w:lang w:val="hu-HU" w:eastAsia="hu-HU"/>
        </w:rPr>
        <w:t xml:space="preserve"> </w:t>
      </w:r>
      <w:proofErr w:type="gramStart"/>
      <w:r w:rsidRPr="00B1245B">
        <w:rPr>
          <w:rFonts w:ascii="Times New Roman" w:hAnsi="Times New Roman"/>
          <w:sz w:val="24"/>
          <w:szCs w:val="24"/>
          <w:lang w:val="hu-HU" w:eastAsia="hu-HU"/>
        </w:rPr>
        <w:t>A …</w:t>
      </w:r>
      <w:proofErr w:type="gramEnd"/>
      <w:r w:rsidRPr="00B1245B">
        <w:rPr>
          <w:rFonts w:ascii="Times New Roman" w:hAnsi="Times New Roman"/>
          <w:sz w:val="24"/>
          <w:szCs w:val="24"/>
          <w:lang w:val="hu-HU" w:eastAsia="hu-HU"/>
        </w:rPr>
        <w:t xml:space="preserve"> megyei közgyűlések szervezeti és működési szabályzatban rögzítik a 13. § (2</w:t>
      </w:r>
      <w:proofErr w:type="gramStart"/>
      <w:r w:rsidRPr="00B1245B">
        <w:rPr>
          <w:rFonts w:ascii="Times New Roman" w:hAnsi="Times New Roman"/>
          <w:sz w:val="24"/>
          <w:szCs w:val="24"/>
          <w:lang w:val="hu-HU" w:eastAsia="hu-HU"/>
        </w:rPr>
        <w:t>) …</w:t>
      </w:r>
      <w:proofErr w:type="gramEnd"/>
      <w:r w:rsidRPr="00B1245B">
        <w:rPr>
          <w:rFonts w:ascii="Times New Roman" w:hAnsi="Times New Roman"/>
          <w:sz w:val="24"/>
          <w:szCs w:val="24"/>
          <w:lang w:val="hu-HU" w:eastAsia="hu-HU"/>
        </w:rPr>
        <w:t xml:space="preserve"> figyelembevételével, hogy mely feladatokat látnak el a térségi fejlesztési tanács keretében.</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sz w:val="24"/>
          <w:szCs w:val="24"/>
          <w:lang w:val="hu-HU" w:eastAsia="hu-HU"/>
        </w:rPr>
        <w:t>(7)</w:t>
      </w:r>
      <w:bookmarkStart w:id="4" w:name="foot_98_place"/>
      <w:r w:rsidR="0057028F" w:rsidRPr="00B1245B">
        <w:rPr>
          <w:rFonts w:ascii="Times New Roman" w:hAnsi="Times New Roman"/>
          <w:sz w:val="24"/>
          <w:szCs w:val="24"/>
          <w:vertAlign w:val="superscript"/>
          <w:lang w:val="hu-HU" w:eastAsia="hu-HU"/>
        </w:rPr>
        <w:fldChar w:fldCharType="begin"/>
      </w:r>
      <w:r w:rsidRPr="00B1245B">
        <w:rPr>
          <w:rFonts w:ascii="Times New Roman" w:hAnsi="Times New Roman"/>
          <w:sz w:val="24"/>
          <w:szCs w:val="24"/>
          <w:vertAlign w:val="superscript"/>
          <w:lang w:val="hu-HU" w:eastAsia="hu-HU"/>
        </w:rPr>
        <w:instrText xml:space="preserve"> HYPERLINK "http://jogszabalykereso.mhk.hu/cgi_bin/njt_doc.cgi?docid=25619.582531" \l "foot98" </w:instrText>
      </w:r>
      <w:r w:rsidR="0057028F" w:rsidRPr="00B1245B">
        <w:rPr>
          <w:rFonts w:ascii="Times New Roman" w:hAnsi="Times New Roman"/>
          <w:sz w:val="24"/>
          <w:szCs w:val="24"/>
          <w:vertAlign w:val="superscript"/>
          <w:lang w:val="hu-HU" w:eastAsia="hu-HU"/>
        </w:rPr>
        <w:fldChar w:fldCharType="separate"/>
      </w:r>
      <w:r w:rsidRPr="00B1245B">
        <w:rPr>
          <w:rFonts w:ascii="Times New Roman" w:hAnsi="Times New Roman"/>
          <w:color w:val="FFFFFF"/>
          <w:sz w:val="24"/>
          <w:szCs w:val="24"/>
          <w:vertAlign w:val="superscript"/>
          <w:lang w:val="hu-HU" w:eastAsia="hu-HU"/>
        </w:rPr>
        <w:t>98</w:t>
      </w:r>
      <w:r w:rsidR="0057028F" w:rsidRPr="00B1245B">
        <w:rPr>
          <w:rFonts w:ascii="Times New Roman" w:hAnsi="Times New Roman"/>
          <w:sz w:val="24"/>
          <w:szCs w:val="24"/>
          <w:vertAlign w:val="superscript"/>
          <w:lang w:val="hu-HU" w:eastAsia="hu-HU"/>
        </w:rPr>
        <w:fldChar w:fldCharType="end"/>
      </w:r>
      <w:bookmarkEnd w:id="4"/>
      <w:r w:rsidRPr="00B1245B">
        <w:rPr>
          <w:rFonts w:ascii="Times New Roman" w:hAnsi="Times New Roman"/>
          <w:sz w:val="24"/>
          <w:szCs w:val="24"/>
          <w:lang w:val="hu-HU" w:eastAsia="hu-HU"/>
        </w:rPr>
        <w:t xml:space="preserve"> A térségi fejlesztési tanács megállapodhat a megyei közgyűlésekkel és más, a térségi fejlesztési programokban közreműködőkkel a programok és fejlesztések finanszírozásáról.</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b/>
          <w:bCs/>
          <w:sz w:val="24"/>
          <w:szCs w:val="24"/>
          <w:lang w:val="hu-HU" w:eastAsia="hu-HU"/>
        </w:rPr>
        <w:t>17. §</w:t>
      </w:r>
      <w:bookmarkStart w:id="5" w:name="foot_124_place"/>
      <w:r w:rsidR="0057028F" w:rsidRPr="00B1245B">
        <w:rPr>
          <w:rFonts w:ascii="Times New Roman" w:hAnsi="Times New Roman"/>
          <w:b/>
          <w:bCs/>
          <w:sz w:val="24"/>
          <w:szCs w:val="24"/>
          <w:vertAlign w:val="superscript"/>
          <w:lang w:val="hu-HU" w:eastAsia="hu-HU"/>
        </w:rPr>
        <w:fldChar w:fldCharType="begin"/>
      </w:r>
      <w:r w:rsidRPr="00B1245B">
        <w:rPr>
          <w:rFonts w:ascii="Times New Roman" w:hAnsi="Times New Roman"/>
          <w:b/>
          <w:bCs/>
          <w:sz w:val="24"/>
          <w:szCs w:val="24"/>
          <w:vertAlign w:val="superscript"/>
          <w:lang w:val="hu-HU" w:eastAsia="hu-HU"/>
        </w:rPr>
        <w:instrText xml:space="preserve"> HYPERLINK "http://jogszabalykereso.mhk.hu/cgi_bin/njt_doc.cgi?docid=25619.582531" \l "foot124" </w:instrText>
      </w:r>
      <w:r w:rsidR="0057028F" w:rsidRPr="00B1245B">
        <w:rPr>
          <w:rFonts w:ascii="Times New Roman" w:hAnsi="Times New Roman"/>
          <w:b/>
          <w:bCs/>
          <w:sz w:val="24"/>
          <w:szCs w:val="24"/>
          <w:vertAlign w:val="superscript"/>
          <w:lang w:val="hu-HU" w:eastAsia="hu-HU"/>
        </w:rPr>
        <w:fldChar w:fldCharType="separate"/>
      </w:r>
      <w:r w:rsidRPr="00B1245B">
        <w:rPr>
          <w:rFonts w:ascii="Times New Roman" w:hAnsi="Times New Roman"/>
          <w:b/>
          <w:bCs/>
          <w:color w:val="FFFFFF"/>
          <w:sz w:val="24"/>
          <w:szCs w:val="24"/>
          <w:vertAlign w:val="superscript"/>
          <w:lang w:val="hu-HU" w:eastAsia="hu-HU"/>
        </w:rPr>
        <w:t>124</w:t>
      </w:r>
      <w:r w:rsidR="0057028F" w:rsidRPr="00B1245B">
        <w:rPr>
          <w:rFonts w:ascii="Times New Roman" w:hAnsi="Times New Roman"/>
          <w:b/>
          <w:bCs/>
          <w:sz w:val="24"/>
          <w:szCs w:val="24"/>
          <w:vertAlign w:val="superscript"/>
          <w:lang w:val="hu-HU" w:eastAsia="hu-HU"/>
        </w:rPr>
        <w:fldChar w:fldCharType="end"/>
      </w:r>
      <w:bookmarkEnd w:id="5"/>
      <w:r w:rsidRPr="00B1245B">
        <w:rPr>
          <w:rFonts w:ascii="Times New Roman" w:hAnsi="Times New Roman"/>
          <w:sz w:val="24"/>
          <w:szCs w:val="24"/>
          <w:lang w:val="hu-HU" w:eastAsia="hu-HU"/>
        </w:rPr>
        <w:t xml:space="preserve"> (2) A </w:t>
      </w:r>
      <w:r w:rsidRPr="00B1245B">
        <w:rPr>
          <w:rFonts w:ascii="Times New Roman" w:hAnsi="Times New Roman"/>
          <w:sz w:val="24"/>
          <w:szCs w:val="24"/>
          <w:u w:val="single"/>
          <w:lang w:val="hu-HU" w:eastAsia="hu-HU"/>
        </w:rPr>
        <w:t>regionális fejlesztési ügynökség</w:t>
      </w:r>
      <w:r w:rsidRPr="00B1245B">
        <w:rPr>
          <w:rFonts w:ascii="Times New Roman" w:hAnsi="Times New Roman"/>
          <w:sz w:val="24"/>
          <w:szCs w:val="24"/>
          <w:lang w:val="hu-HU" w:eastAsia="hu-HU"/>
        </w:rPr>
        <w:t xml:space="preserve"> feladatai különösen:</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i/>
          <w:iCs/>
          <w:sz w:val="24"/>
          <w:szCs w:val="24"/>
          <w:lang w:val="hu-HU" w:eastAsia="hu-HU"/>
        </w:rPr>
        <w:t>b)</w:t>
      </w:r>
      <w:r w:rsidRPr="00B1245B">
        <w:rPr>
          <w:rFonts w:ascii="Times New Roman" w:hAnsi="Times New Roman"/>
          <w:sz w:val="24"/>
          <w:szCs w:val="24"/>
          <w:lang w:val="hu-HU" w:eastAsia="hu-HU"/>
        </w:rPr>
        <w:t xml:space="preserve"> szervezi a programok megvalósítását, részt vesz a </w:t>
      </w:r>
      <w:proofErr w:type="gramStart"/>
      <w:r w:rsidRPr="00B1245B">
        <w:rPr>
          <w:rFonts w:ascii="Times New Roman" w:hAnsi="Times New Roman"/>
          <w:sz w:val="24"/>
          <w:szCs w:val="24"/>
          <w:lang w:val="hu-HU" w:eastAsia="hu-HU"/>
        </w:rPr>
        <w:t>programok …</w:t>
      </w:r>
      <w:proofErr w:type="gramEnd"/>
      <w:r w:rsidRPr="00B1245B">
        <w:rPr>
          <w:rFonts w:ascii="Times New Roman" w:hAnsi="Times New Roman"/>
          <w:sz w:val="24"/>
          <w:szCs w:val="24"/>
          <w:lang w:val="hu-HU" w:eastAsia="hu-HU"/>
        </w:rPr>
        <w:t xml:space="preserve"> pénzügyi finanszírozási feladataiban, a programok megvalósításáról, a pénzügyi felhasználásról naprakész nyilvántartást vezet;</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i/>
          <w:iCs/>
          <w:sz w:val="24"/>
          <w:szCs w:val="24"/>
          <w:lang w:val="hu-HU" w:eastAsia="hu-HU"/>
        </w:rPr>
        <w:t>c)</w:t>
      </w:r>
      <w:r w:rsidRPr="00B1245B">
        <w:rPr>
          <w:rFonts w:ascii="Times New Roman" w:hAnsi="Times New Roman"/>
          <w:sz w:val="24"/>
          <w:szCs w:val="24"/>
          <w:lang w:val="hu-HU" w:eastAsia="hu-HU"/>
        </w:rPr>
        <w:t xml:space="preserve"> külön megállapodás alapján részt vesz a területfejlesztési programok lebonyolításában.</w:t>
      </w:r>
    </w:p>
    <w:p w:rsidR="006E4C06" w:rsidRPr="00B1245B" w:rsidRDefault="006E4C06" w:rsidP="00481EF6">
      <w:pPr>
        <w:pStyle w:val="Nincstrkz"/>
        <w:jc w:val="both"/>
        <w:rPr>
          <w:rFonts w:ascii="Times New Roman" w:hAnsi="Times New Roman"/>
          <w:sz w:val="24"/>
          <w:szCs w:val="24"/>
          <w:lang w:val="hu-HU"/>
        </w:rPr>
      </w:pPr>
      <w:bookmarkStart w:id="6" w:name="pr2"/>
      <w:bookmarkEnd w:id="6"/>
    </w:p>
    <w:p w:rsidR="006E4C06" w:rsidRPr="00B1245B" w:rsidRDefault="006E4C06" w:rsidP="00481EF6">
      <w:pPr>
        <w:pStyle w:val="Nincstrkz"/>
        <w:jc w:val="both"/>
        <w:rPr>
          <w:rFonts w:ascii="Times New Roman" w:hAnsi="Times New Roman"/>
          <w:sz w:val="24"/>
          <w:szCs w:val="24"/>
          <w:lang w:val="hu-HU"/>
        </w:rPr>
      </w:pPr>
    </w:p>
    <w:p w:rsidR="006E4C06" w:rsidRPr="00B1245B" w:rsidRDefault="006E4C06" w:rsidP="00481EF6">
      <w:pPr>
        <w:pStyle w:val="Nincstrkz"/>
        <w:jc w:val="both"/>
        <w:rPr>
          <w:rFonts w:ascii="Times New Roman" w:hAnsi="Times New Roman"/>
          <w:b/>
          <w:sz w:val="24"/>
          <w:szCs w:val="24"/>
          <w:lang w:val="hu-HU" w:eastAsia="hu-HU"/>
        </w:rPr>
      </w:pPr>
      <w:r w:rsidRPr="00B1245B">
        <w:rPr>
          <w:rFonts w:ascii="Times New Roman" w:hAnsi="Times New Roman"/>
          <w:b/>
          <w:sz w:val="24"/>
          <w:szCs w:val="24"/>
          <w:lang w:val="hu-HU" w:eastAsia="hu-HU"/>
        </w:rPr>
        <w:t>1999. évi CXXI. törvény a gazdasági kamarákról</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b/>
          <w:sz w:val="24"/>
          <w:szCs w:val="24"/>
          <w:lang w:val="hu-HU" w:eastAsia="hu-HU"/>
        </w:rPr>
        <w:t>9. §</w:t>
      </w:r>
      <w:r w:rsidRPr="00B1245B">
        <w:rPr>
          <w:rFonts w:ascii="Times New Roman" w:hAnsi="Times New Roman"/>
          <w:sz w:val="24"/>
          <w:szCs w:val="24"/>
          <w:lang w:val="hu-HU" w:eastAsia="hu-HU"/>
        </w:rPr>
        <w:t xml:space="preserve"> A </w:t>
      </w:r>
      <w:r w:rsidRPr="00B1245B">
        <w:rPr>
          <w:rFonts w:ascii="Times New Roman" w:hAnsi="Times New Roman"/>
          <w:sz w:val="24"/>
          <w:szCs w:val="24"/>
          <w:u w:val="single"/>
          <w:lang w:val="hu-HU" w:eastAsia="hu-HU"/>
        </w:rPr>
        <w:t>gazdasági kamarák</w:t>
      </w:r>
      <w:r w:rsidRPr="00B1245B">
        <w:rPr>
          <w:rFonts w:ascii="Times New Roman" w:hAnsi="Times New Roman"/>
          <w:sz w:val="24"/>
          <w:szCs w:val="24"/>
          <w:lang w:val="hu-HU" w:eastAsia="hu-HU"/>
        </w:rPr>
        <w:t xml:space="preserve"> a gazdaság fejlesztésével összefüggésben</w:t>
      </w:r>
    </w:p>
    <w:p w:rsidR="006E4C06" w:rsidRPr="00B1245B" w:rsidRDefault="006E4C06" w:rsidP="00481EF6">
      <w:pPr>
        <w:pStyle w:val="Nincstrkz"/>
        <w:ind w:firstLine="142"/>
        <w:jc w:val="both"/>
        <w:rPr>
          <w:rFonts w:ascii="Times New Roman" w:hAnsi="Times New Roman"/>
          <w:sz w:val="24"/>
          <w:szCs w:val="24"/>
          <w:lang w:val="hu-HU" w:eastAsia="hu-HU"/>
        </w:rPr>
      </w:pPr>
      <w:r w:rsidRPr="00B1245B">
        <w:rPr>
          <w:rFonts w:ascii="Times New Roman" w:hAnsi="Times New Roman"/>
          <w:i/>
          <w:iCs/>
          <w:sz w:val="24"/>
          <w:szCs w:val="24"/>
          <w:lang w:val="hu-HU" w:eastAsia="hu-HU"/>
        </w:rPr>
        <w:t>d)</w:t>
      </w:r>
      <w:r w:rsidRPr="00B1245B">
        <w:rPr>
          <w:rFonts w:ascii="Times New Roman" w:hAnsi="Times New Roman"/>
          <w:sz w:val="24"/>
          <w:szCs w:val="24"/>
          <w:lang w:val="hu-HU" w:eastAsia="hu-HU"/>
        </w:rPr>
        <w:t xml:space="preserve"> közreműködnek a területfejlesztési koncepciók és programok gazdaságfejlesztési munkarészeinek kidolgozásában és végrehajtásában;</w:t>
      </w:r>
    </w:p>
    <w:p w:rsidR="006E4C06" w:rsidRPr="00B1245B" w:rsidRDefault="006E4C06" w:rsidP="00481EF6">
      <w:pPr>
        <w:pStyle w:val="Nincstrkz"/>
        <w:jc w:val="both"/>
        <w:rPr>
          <w:rFonts w:ascii="Times New Roman" w:hAnsi="Times New Roman"/>
          <w:sz w:val="24"/>
          <w:szCs w:val="24"/>
          <w:lang w:val="hu-HU"/>
        </w:rPr>
      </w:pPr>
    </w:p>
    <w:p w:rsidR="006E4C06" w:rsidRPr="00B1245B" w:rsidRDefault="006E4C06" w:rsidP="00481EF6">
      <w:pPr>
        <w:pStyle w:val="Nincstrkz"/>
        <w:jc w:val="both"/>
        <w:rPr>
          <w:rFonts w:ascii="Times New Roman" w:hAnsi="Times New Roman"/>
          <w:b/>
          <w:sz w:val="24"/>
          <w:szCs w:val="24"/>
          <w:lang w:val="hu-HU"/>
        </w:rPr>
      </w:pPr>
      <w:r w:rsidRPr="00B1245B">
        <w:rPr>
          <w:rFonts w:ascii="Times New Roman" w:hAnsi="Times New Roman"/>
          <w:b/>
          <w:sz w:val="24"/>
          <w:szCs w:val="24"/>
          <w:lang w:val="hu-HU"/>
        </w:rPr>
        <w:t>1997. évi LXXVIII. törvény az épített környezet alakításáról és védelméről</w:t>
      </w:r>
    </w:p>
    <w:p w:rsidR="006E4C06" w:rsidRPr="00B1245B" w:rsidRDefault="006E4C06" w:rsidP="00481EF6">
      <w:pPr>
        <w:pStyle w:val="Nincstrkz"/>
        <w:ind w:firstLine="142"/>
        <w:jc w:val="both"/>
        <w:rPr>
          <w:rFonts w:ascii="Times New Roman" w:hAnsi="Times New Roman"/>
          <w:sz w:val="24"/>
          <w:szCs w:val="24"/>
          <w:lang w:val="hu-HU"/>
        </w:rPr>
      </w:pPr>
      <w:r w:rsidRPr="00B1245B">
        <w:rPr>
          <w:rFonts w:ascii="Times New Roman" w:hAnsi="Times New Roman"/>
          <w:b/>
          <w:bCs/>
          <w:sz w:val="24"/>
          <w:szCs w:val="24"/>
          <w:lang w:val="hu-HU"/>
        </w:rPr>
        <w:t>6. §</w:t>
      </w:r>
      <w:r w:rsidRPr="00B1245B">
        <w:rPr>
          <w:rFonts w:ascii="Times New Roman" w:hAnsi="Times New Roman"/>
          <w:sz w:val="24"/>
          <w:szCs w:val="24"/>
          <w:lang w:val="hu-HU"/>
        </w:rPr>
        <w:t xml:space="preserve"> (1) a </w:t>
      </w:r>
      <w:r w:rsidRPr="00B1245B">
        <w:rPr>
          <w:rFonts w:ascii="Times New Roman" w:hAnsi="Times New Roman"/>
          <w:sz w:val="24"/>
          <w:szCs w:val="24"/>
          <w:u w:val="single"/>
          <w:lang w:val="hu-HU"/>
        </w:rPr>
        <w:t>települési önkormányzat</w:t>
      </w:r>
      <w:r w:rsidRPr="00B1245B">
        <w:rPr>
          <w:rFonts w:ascii="Times New Roman" w:hAnsi="Times New Roman"/>
          <w:sz w:val="24"/>
          <w:szCs w:val="24"/>
          <w:lang w:val="hu-HU"/>
        </w:rPr>
        <w:t xml:space="preserve"> az épített környezet, a település tervszerű alakítása és védelme érdekében e törvény és végrehajtási rendeleteinek keretei között településfejlesztési és településrendezési feladatokat lát el.</w:t>
      </w:r>
    </w:p>
    <w:p w:rsidR="006E4C06" w:rsidRPr="00B1245B" w:rsidRDefault="006E4C06" w:rsidP="00481EF6">
      <w:pPr>
        <w:pStyle w:val="Nincstrkz"/>
        <w:ind w:firstLine="142"/>
        <w:jc w:val="both"/>
        <w:rPr>
          <w:rFonts w:ascii="Times New Roman" w:hAnsi="Times New Roman"/>
          <w:sz w:val="24"/>
          <w:szCs w:val="24"/>
          <w:lang w:val="hu-HU"/>
        </w:rPr>
      </w:pPr>
      <w:r w:rsidRPr="00B1245B">
        <w:rPr>
          <w:rFonts w:ascii="Times New Roman" w:hAnsi="Times New Roman"/>
          <w:sz w:val="24"/>
          <w:szCs w:val="24"/>
          <w:lang w:val="hu-HU"/>
        </w:rPr>
        <w:t xml:space="preserve">(3) A </w:t>
      </w:r>
      <w:r w:rsidRPr="00B1245B">
        <w:rPr>
          <w:rFonts w:ascii="Times New Roman" w:hAnsi="Times New Roman"/>
          <w:sz w:val="24"/>
          <w:szCs w:val="24"/>
          <w:u w:val="single"/>
          <w:lang w:val="hu-HU"/>
        </w:rPr>
        <w:t>megyei önkormányzat</w:t>
      </w:r>
      <w:r w:rsidRPr="00B1245B">
        <w:rPr>
          <w:rFonts w:ascii="Times New Roman" w:hAnsi="Times New Roman"/>
          <w:sz w:val="24"/>
          <w:szCs w:val="24"/>
          <w:lang w:val="hu-HU"/>
        </w:rPr>
        <w:t xml:space="preserve"> elősegíti a megyei területfejlesztési koncepció és a területrendezési tervek, valamint a településfejlesztési koncepciók, integrált településfejlesztési stratégiák és a településrendezési eszközök összhangjának megteremtését, ennek érdekében véleményezi és figyelemmel kíséri azokat.</w:t>
      </w:r>
    </w:p>
    <w:p w:rsidR="006E4C06" w:rsidRPr="00B1245B" w:rsidRDefault="006E4C06" w:rsidP="00481EF6">
      <w:pPr>
        <w:pStyle w:val="Nincstrkz"/>
        <w:jc w:val="both"/>
        <w:rPr>
          <w:rFonts w:ascii="Times New Roman" w:hAnsi="Times New Roman"/>
          <w:sz w:val="24"/>
          <w:szCs w:val="24"/>
          <w:lang w:val="hu-HU"/>
        </w:rPr>
      </w:pPr>
    </w:p>
    <w:p w:rsidR="006E4C06" w:rsidRPr="00B1245B" w:rsidRDefault="006E4C06" w:rsidP="00481EF6">
      <w:pPr>
        <w:pStyle w:val="Nincstrkz"/>
        <w:jc w:val="both"/>
        <w:rPr>
          <w:rFonts w:ascii="Times New Roman" w:hAnsi="Times New Roman"/>
          <w:b/>
          <w:sz w:val="24"/>
          <w:szCs w:val="24"/>
          <w:lang w:val="hu-HU"/>
        </w:rPr>
      </w:pPr>
      <w:r w:rsidRPr="00B1245B">
        <w:rPr>
          <w:rFonts w:ascii="Times New Roman" w:hAnsi="Times New Roman"/>
          <w:b/>
          <w:sz w:val="24"/>
          <w:szCs w:val="24"/>
          <w:lang w:val="hu-HU"/>
        </w:rPr>
        <w:t>2011. évi CLXXV. törvény az egyesülési jogról, a közhasznú jogállásról, valamint a civil szervezetek működéséről és támogatásáról</w:t>
      </w:r>
    </w:p>
    <w:p w:rsidR="006E4C06" w:rsidRPr="00B1245B" w:rsidRDefault="006E4C06" w:rsidP="00481EF6">
      <w:pPr>
        <w:pStyle w:val="Nincstrkz"/>
        <w:ind w:firstLine="142"/>
        <w:jc w:val="both"/>
        <w:rPr>
          <w:rFonts w:ascii="Times New Roman" w:hAnsi="Times New Roman"/>
          <w:sz w:val="24"/>
          <w:szCs w:val="24"/>
          <w:lang w:val="hu-HU"/>
        </w:rPr>
      </w:pPr>
      <w:r w:rsidRPr="00B1245B">
        <w:rPr>
          <w:rFonts w:ascii="Times New Roman" w:hAnsi="Times New Roman"/>
          <w:b/>
          <w:bCs/>
          <w:sz w:val="24"/>
          <w:szCs w:val="24"/>
          <w:lang w:val="hu-HU"/>
        </w:rPr>
        <w:t>51. §</w:t>
      </w:r>
      <w:r w:rsidRPr="00B1245B">
        <w:rPr>
          <w:rFonts w:ascii="Times New Roman" w:hAnsi="Times New Roman"/>
          <w:sz w:val="24"/>
          <w:szCs w:val="24"/>
          <w:lang w:val="hu-HU"/>
        </w:rPr>
        <w:t xml:space="preserve"> (1) A civil szervezetek működésének szakmai támogatása, fenntarthatóságuk erősítése, továbbá az államháztartás alrendszereiből nyújtott támogatások szabályszerű felhasználásának elősegítése érdekében a miniszter civil információs centrumokat működtet.</w:t>
      </w:r>
    </w:p>
    <w:p w:rsidR="006E4C06" w:rsidRPr="00B1245B" w:rsidRDefault="006E4C06" w:rsidP="00481EF6">
      <w:pPr>
        <w:pStyle w:val="Nincstrkz"/>
        <w:ind w:firstLine="142"/>
        <w:jc w:val="both"/>
        <w:rPr>
          <w:rFonts w:ascii="Times New Roman" w:hAnsi="Times New Roman"/>
          <w:sz w:val="24"/>
          <w:szCs w:val="24"/>
          <w:lang w:val="hu-HU"/>
        </w:rPr>
      </w:pPr>
      <w:r w:rsidRPr="00B1245B">
        <w:rPr>
          <w:rFonts w:ascii="Times New Roman" w:hAnsi="Times New Roman"/>
          <w:sz w:val="24"/>
          <w:szCs w:val="24"/>
          <w:lang w:val="hu-HU"/>
        </w:rPr>
        <w:t>(2) A civil információs centrumok nyilvános pályázat útján kiválasztott civil szervezetek.</w:t>
      </w:r>
    </w:p>
    <w:p w:rsidR="006E4C06" w:rsidRPr="00B1245B" w:rsidRDefault="006E4C06" w:rsidP="00481EF6">
      <w:pPr>
        <w:pStyle w:val="Nincstrkz"/>
        <w:ind w:firstLine="142"/>
        <w:jc w:val="both"/>
        <w:rPr>
          <w:rFonts w:ascii="Times New Roman" w:hAnsi="Times New Roman"/>
          <w:sz w:val="24"/>
          <w:szCs w:val="24"/>
          <w:lang w:val="hu-HU"/>
        </w:rPr>
      </w:pPr>
      <w:r w:rsidRPr="00B1245B">
        <w:rPr>
          <w:rFonts w:ascii="Times New Roman" w:hAnsi="Times New Roman"/>
          <w:b/>
          <w:bCs/>
          <w:sz w:val="24"/>
          <w:szCs w:val="24"/>
          <w:lang w:val="hu-HU"/>
        </w:rPr>
        <w:t>52. §</w:t>
      </w:r>
      <w:r w:rsidRPr="00B1245B">
        <w:rPr>
          <w:rFonts w:ascii="Times New Roman" w:hAnsi="Times New Roman"/>
          <w:sz w:val="24"/>
          <w:szCs w:val="24"/>
          <w:lang w:val="hu-HU"/>
        </w:rPr>
        <w:t xml:space="preserve"> (1) A </w:t>
      </w:r>
      <w:r w:rsidRPr="00B1245B">
        <w:rPr>
          <w:rFonts w:ascii="Times New Roman" w:hAnsi="Times New Roman"/>
          <w:sz w:val="24"/>
          <w:szCs w:val="24"/>
          <w:u w:val="single"/>
          <w:lang w:val="hu-HU"/>
        </w:rPr>
        <w:t>civil információs centrumok</w:t>
      </w:r>
      <w:r w:rsidRPr="00B1245B">
        <w:rPr>
          <w:rFonts w:ascii="Times New Roman" w:hAnsi="Times New Roman"/>
          <w:sz w:val="24"/>
          <w:szCs w:val="24"/>
          <w:lang w:val="hu-HU"/>
        </w:rPr>
        <w:t xml:space="preserve"> 51. § szerinti tevékenységük keretében az alábbi feladatokat látják el:</w:t>
      </w:r>
    </w:p>
    <w:p w:rsidR="006E4C06" w:rsidRPr="00B1245B" w:rsidRDefault="006E4C06" w:rsidP="00481EF6">
      <w:pPr>
        <w:pStyle w:val="Nincstrkz"/>
        <w:ind w:firstLine="142"/>
        <w:jc w:val="both"/>
        <w:rPr>
          <w:rFonts w:ascii="Times New Roman" w:hAnsi="Times New Roman"/>
          <w:sz w:val="24"/>
          <w:szCs w:val="24"/>
          <w:lang w:val="hu-HU"/>
        </w:rPr>
      </w:pPr>
      <w:proofErr w:type="gramStart"/>
      <w:r w:rsidRPr="00B1245B">
        <w:rPr>
          <w:rFonts w:ascii="Times New Roman" w:hAnsi="Times New Roman"/>
          <w:i/>
          <w:iCs/>
          <w:sz w:val="24"/>
          <w:szCs w:val="24"/>
          <w:lang w:val="hu-HU"/>
        </w:rPr>
        <w:t>a</w:t>
      </w:r>
      <w:proofErr w:type="gramEnd"/>
      <w:r w:rsidRPr="00B1245B">
        <w:rPr>
          <w:rFonts w:ascii="Times New Roman" w:hAnsi="Times New Roman"/>
          <w:i/>
          <w:iCs/>
          <w:sz w:val="24"/>
          <w:szCs w:val="24"/>
          <w:lang w:val="hu-HU"/>
        </w:rPr>
        <w:t>)</w:t>
      </w:r>
      <w:r w:rsidRPr="00B1245B">
        <w:rPr>
          <w:rFonts w:ascii="Times New Roman" w:hAnsi="Times New Roman"/>
          <w:sz w:val="24"/>
          <w:szCs w:val="24"/>
          <w:lang w:val="hu-HU"/>
        </w:rPr>
        <w:t xml:space="preserve"> igény esetén közreműködnek a civil szervezetek e törvény szerinti adminisztratív (elektronikus úton teljesítendő) kötelezettségeik teljesítésében,</w:t>
      </w:r>
    </w:p>
    <w:p w:rsidR="006E4C06" w:rsidRPr="00B1245B" w:rsidRDefault="006E4C06" w:rsidP="00481EF6">
      <w:pPr>
        <w:pStyle w:val="Nincstrkz"/>
        <w:ind w:firstLine="142"/>
        <w:jc w:val="both"/>
        <w:rPr>
          <w:rFonts w:ascii="Times New Roman" w:hAnsi="Times New Roman"/>
          <w:sz w:val="24"/>
          <w:szCs w:val="24"/>
          <w:lang w:val="hu-HU"/>
        </w:rPr>
      </w:pPr>
      <w:r w:rsidRPr="00B1245B">
        <w:rPr>
          <w:rFonts w:ascii="Times New Roman" w:hAnsi="Times New Roman"/>
          <w:i/>
          <w:iCs/>
          <w:sz w:val="24"/>
          <w:szCs w:val="24"/>
          <w:lang w:val="hu-HU"/>
        </w:rPr>
        <w:t>b)</w:t>
      </w:r>
      <w:r w:rsidRPr="00B1245B">
        <w:rPr>
          <w:rFonts w:ascii="Times New Roman" w:hAnsi="Times New Roman"/>
          <w:sz w:val="24"/>
          <w:szCs w:val="24"/>
          <w:lang w:val="hu-HU"/>
        </w:rPr>
        <w:t xml:space="preserve"> elősegítik a civil szervezetek és a helyi önkormányzatok és a nemzetiségi önkormányzatok együttműködését,</w:t>
      </w:r>
    </w:p>
    <w:p w:rsidR="006E4C06" w:rsidRPr="00B1245B" w:rsidRDefault="006E4C06" w:rsidP="00481EF6">
      <w:pPr>
        <w:pStyle w:val="Default"/>
        <w:jc w:val="both"/>
        <w:rPr>
          <w:rFonts w:ascii="Times New Roman" w:hAnsi="Times New Roman" w:cs="Times New Roman"/>
          <w:b/>
        </w:rPr>
      </w:pPr>
    </w:p>
    <w:p w:rsidR="006E4C06" w:rsidRPr="00B1245B" w:rsidRDefault="006E4C06" w:rsidP="00481EF6">
      <w:pPr>
        <w:pStyle w:val="Default"/>
        <w:jc w:val="both"/>
        <w:rPr>
          <w:rFonts w:ascii="Times New Roman" w:hAnsi="Times New Roman" w:cs="Times New Roman"/>
          <w:b/>
          <w:bCs/>
          <w:u w:val="single"/>
        </w:rPr>
      </w:pPr>
      <w:r w:rsidRPr="00B1245B">
        <w:rPr>
          <w:rFonts w:ascii="Times New Roman" w:hAnsi="Times New Roman" w:cs="Times New Roman"/>
          <w:b/>
          <w:bCs/>
          <w:u w:val="single"/>
        </w:rPr>
        <w:t>A megyei tervezés további jogszabályi alapjai</w:t>
      </w:r>
    </w:p>
    <w:p w:rsidR="006E4C06" w:rsidRPr="00B1245B" w:rsidRDefault="006E4C06" w:rsidP="00481EF6">
      <w:pPr>
        <w:pStyle w:val="Default"/>
        <w:jc w:val="both"/>
        <w:rPr>
          <w:rFonts w:ascii="Times New Roman" w:hAnsi="Times New Roman" w:cs="Times New Roman"/>
        </w:rPr>
      </w:pPr>
    </w:p>
    <w:p w:rsidR="006E4C06" w:rsidRPr="00B1245B" w:rsidRDefault="006E4C06" w:rsidP="00481EF6">
      <w:pPr>
        <w:pStyle w:val="Default"/>
        <w:jc w:val="both"/>
        <w:rPr>
          <w:rFonts w:ascii="Times New Roman" w:hAnsi="Times New Roman" w:cs="Times New Roman"/>
        </w:rPr>
      </w:pPr>
      <w:r w:rsidRPr="00B1245B">
        <w:rPr>
          <w:rFonts w:ascii="Times New Roman" w:hAnsi="Times New Roman" w:cs="Times New Roman"/>
        </w:rPr>
        <w:t xml:space="preserve">A megyei önkormányzatok feladatait alapvetően két törvény szabályozza: </w:t>
      </w:r>
    </w:p>
    <w:p w:rsidR="006E4C06" w:rsidRPr="00B1245B" w:rsidRDefault="006E4C06" w:rsidP="00481EF6">
      <w:pPr>
        <w:pStyle w:val="Default"/>
        <w:jc w:val="both"/>
        <w:rPr>
          <w:rFonts w:ascii="Times New Roman" w:hAnsi="Times New Roman" w:cs="Times New Roman"/>
        </w:rPr>
      </w:pPr>
      <w:r w:rsidRPr="00B1245B">
        <w:rPr>
          <w:rFonts w:ascii="Times New Roman" w:hAnsi="Times New Roman" w:cs="Times New Roman"/>
        </w:rPr>
        <w:t xml:space="preserve">A </w:t>
      </w:r>
      <w:r w:rsidRPr="00B1245B">
        <w:rPr>
          <w:rFonts w:ascii="Times New Roman" w:hAnsi="Times New Roman" w:cs="Times New Roman"/>
          <w:b/>
        </w:rPr>
        <w:t xml:space="preserve">Magyarország helyi önkormányzatairól szóló 2011. évi CLXXXIX. törvény </w:t>
      </w:r>
      <w:r w:rsidRPr="00B1245B">
        <w:rPr>
          <w:rFonts w:ascii="Times New Roman" w:hAnsi="Times New Roman" w:cs="Times New Roman"/>
        </w:rPr>
        <w:t>27. § (1) bekezdése</w:t>
      </w:r>
      <w:r w:rsidRPr="00B1245B">
        <w:rPr>
          <w:rFonts w:ascii="Times New Roman" w:hAnsi="Times New Roman" w:cs="Times New Roman"/>
          <w:b/>
        </w:rPr>
        <w:t xml:space="preserve"> </w:t>
      </w:r>
      <w:r w:rsidRPr="00B1245B">
        <w:rPr>
          <w:rFonts w:ascii="Times New Roman" w:hAnsi="Times New Roman" w:cs="Times New Roman"/>
        </w:rPr>
        <w:t>szerint: „</w:t>
      </w:r>
      <w:proofErr w:type="gramStart"/>
      <w:r w:rsidRPr="00B1245B">
        <w:rPr>
          <w:rFonts w:ascii="Times New Roman" w:hAnsi="Times New Roman" w:cs="Times New Roman"/>
        </w:rPr>
        <w:t>A</w:t>
      </w:r>
      <w:proofErr w:type="gramEnd"/>
      <w:r w:rsidRPr="00B1245B">
        <w:rPr>
          <w:rFonts w:ascii="Times New Roman" w:hAnsi="Times New Roman" w:cs="Times New Roman"/>
        </w:rPr>
        <w:t xml:space="preserve"> megyei önkormányzat területi önkormányzat, amely törvényben meghatározottak szerint területfejlesztési, vidékfejlesztési, területrendezési, valamint koordinációs feladatokat lát el.” </w:t>
      </w:r>
    </w:p>
    <w:p w:rsidR="006E4C06" w:rsidRPr="00B1245B" w:rsidRDefault="006E4C06" w:rsidP="00481EF6">
      <w:pPr>
        <w:pStyle w:val="Default"/>
        <w:jc w:val="both"/>
        <w:rPr>
          <w:rFonts w:ascii="Times New Roman" w:hAnsi="Times New Roman" w:cs="Times New Roman"/>
          <w:color w:val="auto"/>
        </w:rPr>
      </w:pPr>
      <w:r w:rsidRPr="00B1245B">
        <w:rPr>
          <w:rFonts w:ascii="Times New Roman" w:hAnsi="Times New Roman" w:cs="Times New Roman"/>
        </w:rPr>
        <w:t xml:space="preserve">A fentiekben megfogalmazott feladat- és hatásköröket a </w:t>
      </w:r>
      <w:r w:rsidRPr="00B1245B">
        <w:rPr>
          <w:rFonts w:ascii="Times New Roman" w:hAnsi="Times New Roman" w:cs="Times New Roman"/>
          <w:b/>
        </w:rPr>
        <w:t>területfejlesztésről és a területrendezésről szóló 1996. évi XXI. törvény</w:t>
      </w:r>
      <w:r w:rsidRPr="00B1245B">
        <w:rPr>
          <w:rFonts w:ascii="Times New Roman" w:hAnsi="Times New Roman" w:cs="Times New Roman"/>
        </w:rPr>
        <w:t xml:space="preserve"> (továbbiakban: Tftv.) részletezi, melynek 2011. decemberi módosításával és annak 2012. január 1-ei hatályba lépésével a jogalkotó a területfejlesztési feladatokat területi szinten a regionális fejlesztési tanácsok megszüntetésével a megyei önkormányzatok hatáskörébe utalta. A Tftv.-ben foglalt közfeladatok ellátása során a megyei önkormányzat összehangolja a kormányzat, az önkormányzat és a </w:t>
      </w:r>
      <w:r w:rsidRPr="00B1245B">
        <w:rPr>
          <w:rFonts w:ascii="Times New Roman" w:hAnsi="Times New Roman" w:cs="Times New Roman"/>
          <w:color w:val="auto"/>
        </w:rPr>
        <w:t xml:space="preserve">gazdasági szervezetek fejlesztési elképzeléseit, amelynek keretében a tervezés és a végrehajtás során gondoskodik a partnerség elvének érvényesítéséről. A fentiek értelmében részben tehát tervezési (koncepció és programalkotás), részben koordinációs illetve közreműködési feladatokat határoz meg a jogszabály a megyei önkormányzatok számára. </w:t>
      </w:r>
    </w:p>
    <w:p w:rsidR="006E4C06" w:rsidRPr="00B1245B" w:rsidRDefault="006E4C06" w:rsidP="00481EF6">
      <w:pPr>
        <w:pStyle w:val="Default"/>
        <w:jc w:val="both"/>
        <w:rPr>
          <w:rFonts w:ascii="Times New Roman" w:hAnsi="Times New Roman" w:cs="Times New Roman"/>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 xml:space="preserve">További irányadó jogszabályként kezelendő a 2014-2020 közötti európai uniós fejlesztési források felhasználásának tervezésével és intézményrendszerének kialakításával összefüggő aktuális feladatokról szóló 1600/2012. (XII. 17.) Korm. határozat, a 2014-2020 közötti források területi koordinációjának kereteiről szóló 1115/2013. (III.8.) számú határozat, valamint a 2014–2020-as európai uniós programok lebonyolításának alapelveiről szóló 1731/2013. (X. 11.) Korm. határozat. </w:t>
      </w:r>
    </w:p>
    <w:p w:rsidR="006E4C06" w:rsidRPr="00B1245B" w:rsidRDefault="006E4C06" w:rsidP="00481EF6">
      <w:pPr>
        <w:pStyle w:val="Default"/>
        <w:jc w:val="both"/>
        <w:rPr>
          <w:rFonts w:ascii="Times New Roman" w:hAnsi="Times New Roman" w:cs="Times New Roman"/>
          <w:color w:val="auto"/>
        </w:rPr>
      </w:pPr>
    </w:p>
    <w:p w:rsidR="006E4C06" w:rsidRPr="00B1245B" w:rsidRDefault="006E4C06" w:rsidP="00481EF6">
      <w:pPr>
        <w:jc w:val="both"/>
        <w:rPr>
          <w:rFonts w:ascii="Times New Roman" w:hAnsi="Times New Roman"/>
          <w:sz w:val="24"/>
          <w:szCs w:val="24"/>
          <w:lang w:val="hu-HU"/>
        </w:rPr>
      </w:pPr>
      <w:r w:rsidRPr="00B1245B">
        <w:rPr>
          <w:rFonts w:ascii="Times New Roman" w:hAnsi="Times New Roman"/>
          <w:sz w:val="24"/>
          <w:szCs w:val="24"/>
          <w:lang w:val="hu-HU"/>
        </w:rPr>
        <w:t>A fentiek alapján a megyék törvény szerint készítenek területfejlesztési koncepciót és programot, valamint közreműködnek a 2014-2020-as területi alapú fejlesztések megtervezésében, továbbá a fejlesztések területi integrációjának szintje a megye és a nagyvárosok, ill. várostérségek.</w:t>
      </w:r>
    </w:p>
    <w:p w:rsidR="006E4C06" w:rsidRPr="00B1245B" w:rsidRDefault="006E4C06" w:rsidP="00481EF6">
      <w:pPr>
        <w:pStyle w:val="Default"/>
        <w:jc w:val="both"/>
        <w:rPr>
          <w:rFonts w:ascii="Times New Roman" w:hAnsi="Times New Roman" w:cs="Times New Roman"/>
          <w:color w:val="auto"/>
        </w:rPr>
      </w:pPr>
      <w:r w:rsidRPr="00B1245B">
        <w:rPr>
          <w:rFonts w:ascii="Times New Roman" w:hAnsi="Times New Roman" w:cs="Times New Roman"/>
          <w:color w:val="auto"/>
        </w:rPr>
        <w:t>Az 1600/2012. (XII. 17.) Korm. határozat a 2014-2020 közötti európai uniós fejlesztési források felhasználásának tervezésével és intézményrendszerének kialakításával összefüggő célokat és alapelveket határozza meg. Azon túl, hogy növelni kell a közvetlenül gazdaságfejlesztésre irányuló források részarányát, hogy a tervezés során elsősorban a magas hozzáadott értéket biztosító termelés és a foglalkoztatás erősítését kell stratégiai célnak tekinteni, és hogy a forrásokat lehetőség szerint koncentrált módon, kevés számú fejlesztési prioritásra összepontosítva kell felhasználni - elkerülve a források nem kívánatos szétaprózódását -, a végrehajtás és a finanszírozás intézményi és eljárásrendi alapelvei közül az alábbiak kiemelt súllyal bírnak:</w:t>
      </w:r>
    </w:p>
    <w:p w:rsidR="006E4C06" w:rsidRPr="00B1245B" w:rsidRDefault="006E4C06" w:rsidP="00481EF6">
      <w:pPr>
        <w:pStyle w:val="Default"/>
        <w:jc w:val="both"/>
        <w:rPr>
          <w:rFonts w:ascii="Times New Roman" w:hAnsi="Times New Roman" w:cs="Times New Roman"/>
          <w:color w:val="auto"/>
        </w:rPr>
      </w:pPr>
    </w:p>
    <w:p w:rsidR="006E4C06" w:rsidRPr="00B1245B" w:rsidRDefault="006E4C06" w:rsidP="00481EF6">
      <w:pPr>
        <w:numPr>
          <w:ilvl w:val="0"/>
          <w:numId w:val="6"/>
        </w:numPr>
        <w:spacing w:after="120" w:line="240" w:lineRule="auto"/>
        <w:jc w:val="both"/>
        <w:rPr>
          <w:rFonts w:ascii="Times New Roman" w:hAnsi="Times New Roman"/>
          <w:sz w:val="24"/>
          <w:szCs w:val="24"/>
          <w:lang w:val="hu-HU"/>
        </w:rPr>
      </w:pPr>
      <w:r w:rsidRPr="00B1245B">
        <w:rPr>
          <w:rFonts w:ascii="Times New Roman" w:hAnsi="Times New Roman"/>
          <w:sz w:val="24"/>
          <w:szCs w:val="24"/>
          <w:lang w:val="hu-HU"/>
        </w:rPr>
        <w:t>a 2014–2020 közötti európai uniós fejlesztési források felhasználását központi koordinációval működő decentralizált intézményrendszernek kell támogatnia, amelyben hatékony központi koordináció mellett érvényesül az ágazati szakpolitikákért felelős tárcák tervező és irányító szerepe,</w:t>
      </w:r>
    </w:p>
    <w:p w:rsidR="006E4C06" w:rsidRPr="00B1245B" w:rsidRDefault="006E4C06" w:rsidP="00481EF6">
      <w:pPr>
        <w:numPr>
          <w:ilvl w:val="0"/>
          <w:numId w:val="6"/>
        </w:numPr>
        <w:spacing w:after="120" w:line="240" w:lineRule="auto"/>
        <w:jc w:val="both"/>
        <w:rPr>
          <w:rFonts w:ascii="Times New Roman" w:hAnsi="Times New Roman"/>
          <w:sz w:val="24"/>
          <w:szCs w:val="24"/>
          <w:lang w:val="hu-HU"/>
        </w:rPr>
      </w:pPr>
      <w:r w:rsidRPr="00B1245B">
        <w:rPr>
          <w:rFonts w:ascii="Times New Roman" w:hAnsi="Times New Roman"/>
          <w:sz w:val="24"/>
          <w:szCs w:val="24"/>
          <w:lang w:val="hu-HU"/>
        </w:rPr>
        <w:t>a 2014–2020 között elérhető források felhasználását biztosító új intézményrendszer kialakításakor biztosítani kell a jelenlegi fejlesztési időszak kifutó programjainak zökkenőmentes zárását és a kifizetések teljes körű abszorpcióját, törekedve a teljes intézményrendszeren belüli esetleges párhuzamosságok minimalizálására,</w:t>
      </w:r>
    </w:p>
    <w:p w:rsidR="006E4C06" w:rsidRPr="00B1245B" w:rsidRDefault="006E4C06" w:rsidP="00481EF6">
      <w:pPr>
        <w:numPr>
          <w:ilvl w:val="0"/>
          <w:numId w:val="6"/>
        </w:numPr>
        <w:spacing w:after="120" w:line="240" w:lineRule="auto"/>
        <w:jc w:val="both"/>
        <w:rPr>
          <w:rFonts w:ascii="Times New Roman" w:hAnsi="Times New Roman"/>
          <w:sz w:val="24"/>
          <w:szCs w:val="24"/>
          <w:lang w:val="hu-HU"/>
        </w:rPr>
      </w:pPr>
      <w:r w:rsidRPr="00B1245B">
        <w:rPr>
          <w:rFonts w:ascii="Times New Roman" w:hAnsi="Times New Roman"/>
          <w:sz w:val="24"/>
          <w:szCs w:val="24"/>
          <w:lang w:val="hu-HU"/>
        </w:rPr>
        <w:t>a 2014–2020 között rendelkezésre álló európai uniós fejlesztési források 60 százalékát közvetlenül gazdaságfejlesztésre kell fordítani, a fennmaradó 40 százalékot pedig a humánerőforrás-fejlesztés, az infrastruktúrafejlesztés, a környezetvédelem és az energiahatékonyság célterületek között kell allokálni, figyelembe véve az európai uniós forrásokból megvalósuló fejlesztésekkel kapcsolatos determinációkat,</w:t>
      </w:r>
    </w:p>
    <w:p w:rsidR="006E4C06" w:rsidRPr="00B1245B" w:rsidRDefault="006E4C06" w:rsidP="00481EF6">
      <w:pPr>
        <w:numPr>
          <w:ilvl w:val="0"/>
          <w:numId w:val="6"/>
        </w:numPr>
        <w:spacing w:after="120" w:line="240" w:lineRule="auto"/>
        <w:jc w:val="both"/>
        <w:rPr>
          <w:rFonts w:ascii="Times New Roman" w:hAnsi="Times New Roman"/>
          <w:sz w:val="24"/>
          <w:szCs w:val="24"/>
          <w:lang w:val="hu-HU"/>
        </w:rPr>
      </w:pPr>
      <w:r w:rsidRPr="00B1245B">
        <w:rPr>
          <w:rFonts w:ascii="Times New Roman" w:hAnsi="Times New Roman"/>
          <w:sz w:val="24"/>
          <w:szCs w:val="24"/>
          <w:lang w:val="hu-HU"/>
        </w:rPr>
        <w:t xml:space="preserve"> a rendelkezésre álló fejlesztési forrásokból elsősorban vissza nem térítendő támogatások nyújtására kell törekedni, a fejlesztéspolitikai önerő minimalizálása mellett,</w:t>
      </w:r>
    </w:p>
    <w:p w:rsidR="006E4C06" w:rsidRPr="00B1245B" w:rsidRDefault="006E4C06" w:rsidP="00481EF6">
      <w:pPr>
        <w:numPr>
          <w:ilvl w:val="0"/>
          <w:numId w:val="6"/>
        </w:numPr>
        <w:spacing w:after="120" w:line="240" w:lineRule="auto"/>
        <w:jc w:val="both"/>
        <w:rPr>
          <w:rFonts w:ascii="Times New Roman" w:hAnsi="Times New Roman"/>
          <w:sz w:val="24"/>
          <w:szCs w:val="24"/>
          <w:lang w:val="hu-HU"/>
        </w:rPr>
      </w:pPr>
      <w:r w:rsidRPr="00B1245B">
        <w:rPr>
          <w:rFonts w:ascii="Times New Roman" w:hAnsi="Times New Roman"/>
          <w:sz w:val="24"/>
          <w:szCs w:val="24"/>
          <w:lang w:val="hu-HU"/>
        </w:rPr>
        <w:t>a közszférához tartozó kedvezményezettek esetében biztosítani kell, hogy a támogatási döntések az általános pályázati rendszertől eltérő, egyszerűsített eljárásrend keretében szülessenek meg,</w:t>
      </w:r>
    </w:p>
    <w:p w:rsidR="006E4C06" w:rsidRPr="00B1245B" w:rsidRDefault="006E4C06" w:rsidP="00481EF6">
      <w:pPr>
        <w:numPr>
          <w:ilvl w:val="0"/>
          <w:numId w:val="6"/>
        </w:numPr>
        <w:spacing w:after="120" w:line="240" w:lineRule="auto"/>
        <w:jc w:val="both"/>
        <w:rPr>
          <w:rFonts w:ascii="Times New Roman" w:hAnsi="Times New Roman"/>
          <w:sz w:val="24"/>
          <w:szCs w:val="24"/>
          <w:lang w:val="hu-HU"/>
        </w:rPr>
      </w:pPr>
      <w:r w:rsidRPr="00B1245B">
        <w:rPr>
          <w:rFonts w:ascii="Times New Roman" w:hAnsi="Times New Roman"/>
          <w:sz w:val="24"/>
          <w:szCs w:val="24"/>
          <w:lang w:val="hu-HU"/>
        </w:rPr>
        <w:t>a 2014–2020 között elérhető források felhasználásának tervezését a területiség elvét figyelembe véve kell elvégezni, különös tekintettel a területi operatív programok tervezésére, amely során biztosítani kell a megyék hatékony közreműködését</w:t>
      </w:r>
    </w:p>
    <w:p w:rsidR="006E4C06" w:rsidRPr="00B1245B" w:rsidRDefault="006E4C06" w:rsidP="00481EF6">
      <w:pPr>
        <w:pStyle w:val="Default"/>
        <w:jc w:val="both"/>
        <w:rPr>
          <w:rFonts w:ascii="Times New Roman" w:hAnsi="Times New Roman" w:cs="Times New Roman"/>
        </w:rPr>
      </w:pPr>
      <w:r w:rsidRPr="00B1245B">
        <w:rPr>
          <w:rFonts w:ascii="Times New Roman" w:hAnsi="Times New Roman" w:cs="Times New Roman"/>
        </w:rPr>
        <w:t xml:space="preserve">A 2014-2020-as európai uniós tervezési időszakra való felkészülésben is fontos szerepe van a megfelelő módon előkészített, megalapozott területi terveknek. A területi tervek alapul szolgálhatnak a 2014-2020-as uniós költségvetési időszakban a Közösségi Stratégiai Keret alá tartozó alapokból finanszírozandó operatív programok tervezéséhez annak érdekében, hogy az uniós finanszírozású ágazati és területi operatív programokban a területi fejlesztési igények is megjelenítésre kerülhessenek. </w:t>
      </w:r>
    </w:p>
    <w:p w:rsidR="006E4C06" w:rsidRPr="00B1245B" w:rsidRDefault="006E4C06" w:rsidP="00481EF6">
      <w:pPr>
        <w:pStyle w:val="Default"/>
        <w:jc w:val="both"/>
        <w:rPr>
          <w:rFonts w:ascii="Times New Roman" w:hAnsi="Times New Roman" w:cs="Times New Roman"/>
          <w:color w:val="auto"/>
        </w:rPr>
      </w:pPr>
    </w:p>
    <w:p w:rsidR="006E4C06" w:rsidRPr="00B1245B" w:rsidRDefault="006E4C06" w:rsidP="00481EF6">
      <w:pPr>
        <w:pStyle w:val="Default"/>
        <w:jc w:val="both"/>
        <w:rPr>
          <w:rFonts w:ascii="Times New Roman" w:hAnsi="Times New Roman" w:cs="Times New Roman"/>
        </w:rPr>
      </w:pPr>
      <w:r w:rsidRPr="00B1245B">
        <w:rPr>
          <w:rFonts w:ascii="Times New Roman" w:hAnsi="Times New Roman" w:cs="Times New Roman"/>
        </w:rPr>
        <w:t>A 2014-2020-as tervezés tekintetében a fenti felhatalmazások alapján a megyék elsődlegesen a Terület- és Településfejlesztési Operatív programban (TOP) megvalósuló fejlesztésekhez készítenek elő megyei szintű gazdaságfejlesztési részprogramokat a TOP tartalmi és forrás keretei között. Ezen túlmenően a helyi (városi-várostérségi) szintű tervezésben koordinációs szerepet töltenek be, összefogják a kistérségi fejlesztési részprogramok elkészítését, valamint közreműködnek az ágazati operatív programok kialakításában véleményezés és kulcsprojektek kidolgozása révén.</w:t>
      </w:r>
    </w:p>
    <w:p w:rsidR="006E4C06" w:rsidRPr="00B1245B" w:rsidRDefault="006E4C06" w:rsidP="00481EF6">
      <w:pPr>
        <w:pStyle w:val="Default"/>
        <w:jc w:val="both"/>
        <w:rPr>
          <w:rFonts w:ascii="Times New Roman" w:hAnsi="Times New Roman" w:cs="Times New Roman"/>
        </w:rPr>
      </w:pPr>
    </w:p>
    <w:p w:rsidR="006E4C06" w:rsidRPr="00B1245B" w:rsidRDefault="006E4C06" w:rsidP="00481EF6">
      <w:pPr>
        <w:autoSpaceDE w:val="0"/>
        <w:autoSpaceDN w:val="0"/>
        <w:adjustRightInd w:val="0"/>
        <w:spacing w:after="0" w:line="240" w:lineRule="auto"/>
        <w:jc w:val="both"/>
        <w:rPr>
          <w:rFonts w:ascii="Times New Roman" w:hAnsi="Times New Roman"/>
          <w:color w:val="000000"/>
          <w:sz w:val="24"/>
          <w:szCs w:val="24"/>
          <w:lang w:val="hu-HU"/>
        </w:rPr>
      </w:pPr>
      <w:r w:rsidRPr="00B1245B">
        <w:rPr>
          <w:rFonts w:ascii="Times New Roman" w:hAnsi="Times New Roman"/>
          <w:color w:val="000000"/>
          <w:sz w:val="24"/>
          <w:szCs w:val="24"/>
          <w:lang w:val="hu-HU"/>
        </w:rPr>
        <w:t xml:space="preserve">A fejlesztések hatékonyságának és hozzáadott értékének növelése érdekében a következő időszak végrehajtását egy megújult intézményrendszer támogatja. Ezzel összhangban a Kedvezményezettek felkészítése is nagyobb hangsúlyt kap annak érdekében, hogy alkalmasak legyenek a támogatások fogadására és eredményesebb felhasználására. </w:t>
      </w: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rPr>
      </w:pPr>
    </w:p>
    <w:p w:rsidR="006E4C06" w:rsidRPr="00B1245B" w:rsidRDefault="006E4C06" w:rsidP="00481EF6">
      <w:pPr>
        <w:jc w:val="both"/>
        <w:rPr>
          <w:rFonts w:ascii="Times New Roman" w:hAnsi="Times New Roman"/>
          <w:sz w:val="24"/>
          <w:szCs w:val="24"/>
          <w:lang w:val="hu-HU"/>
        </w:rPr>
      </w:pPr>
      <w:r w:rsidRPr="00B1245B">
        <w:rPr>
          <w:rFonts w:ascii="Times New Roman" w:hAnsi="Times New Roman"/>
          <w:sz w:val="24"/>
          <w:szCs w:val="24"/>
          <w:lang w:val="hu-HU"/>
        </w:rPr>
        <w:t xml:space="preserve">A 2014–2020-as európai uniós programok lebonyolításának alapelveiről szóló </w:t>
      </w:r>
      <w:r w:rsidRPr="00B1245B">
        <w:rPr>
          <w:rFonts w:ascii="Times New Roman" w:hAnsi="Times New Roman"/>
          <w:b/>
          <w:sz w:val="24"/>
          <w:szCs w:val="24"/>
          <w:lang w:val="hu-HU"/>
        </w:rPr>
        <w:t>1731/2013. (X. 11.) Korm. határozat</w:t>
      </w:r>
      <w:r w:rsidRPr="00B1245B">
        <w:rPr>
          <w:rFonts w:ascii="Times New Roman" w:hAnsi="Times New Roman"/>
          <w:sz w:val="24"/>
          <w:szCs w:val="24"/>
          <w:lang w:val="hu-HU"/>
        </w:rPr>
        <w:t xml:space="preserve"> lapján a Kormány elkötelezett abban, hogy a 2014–2020-as programozási időszakban az uniós források felhasználásához kapcsolódó feladatok ellátása során felszámolja a korábban kiszervezett tevékenységeket. Ezen feladatokat a jövőben az állam, a </w:t>
      </w:r>
      <w:proofErr w:type="gramStart"/>
      <w:r w:rsidRPr="00B1245B">
        <w:rPr>
          <w:rFonts w:ascii="Times New Roman" w:hAnsi="Times New Roman"/>
          <w:sz w:val="24"/>
          <w:szCs w:val="24"/>
          <w:lang w:val="hu-HU"/>
        </w:rPr>
        <w:t>meglévő</w:t>
      </w:r>
      <w:proofErr w:type="gramEnd"/>
      <w:r w:rsidRPr="00B1245B">
        <w:rPr>
          <w:rFonts w:ascii="Times New Roman" w:hAnsi="Times New Roman"/>
          <w:sz w:val="24"/>
          <w:szCs w:val="24"/>
          <w:lang w:val="hu-HU"/>
        </w:rPr>
        <w:t xml:space="preserve"> belső erőforrásaira építve, azokat kibővítve kívánja megvalósítani annak érdekében, hogy elősegítse a befolyásmentes, szakmai szempontú, gyors döntéshozatalt és végrehajtást.</w:t>
      </w: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A Kormány ennek érdekében egyetért azzal, hogy a 2014–2020 közötti európai uniós fejlesztési források intézményi és végrehajtási kereteit a következő alapelvek szerint kell elkészíteni:</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1. Az újonnan kialakításra kerülő fejlesztéspolitikai intézményrendszer a fejlesztéspolitikai ügyek egyszerű, gyors, átlátható, diszkrimináció-mentes, költségtakarékos és hatékony intézésére hivatott. Ennek keretében a pályázók számára egyszerűsített, a már meglévő közigazgatási és egyéb nyilvántartások adatain – csak a szükséges mértékben – túlmutató információk megadására irányuló eljárásrend kerül kidolgozásra. Meg kell vizsgálni a pályázók számára kisebb költséget jelentő kiválasztási, projektfejlesztési és implementálási eljárások alkalmazhatóságát (normatív támogatások, global grant, egyszerűbb feltételrendszerű visszatérítendő támogatások). Lehetővé kell tenni, hogy százmillió forint fejlesztési értékig a fejlesztéspolitikai jogviszony normatív feltételek teljesülésével jöjjön létre. A normatív feltételek ez esetben azt jelentik, hogy a támogatást igénylők pályázatának értékelése mind a jogosultsági, mind a kiválasztási szempontokat tekintve kizárólag objektív alapon eldönthető, illetve egyértelműen mérhető mutatók alapján történjen.</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smartTag w:uri="urn:schemas-microsoft-com:office:smarttags" w:element="metricconverter">
        <w:smartTagPr>
          <w:attr w:name="ProductID" w:val="2. A"/>
        </w:smartTagPr>
        <w:r w:rsidRPr="00B1245B">
          <w:rPr>
            <w:rFonts w:ascii="Times New Roman" w:hAnsi="Times New Roman"/>
            <w:sz w:val="24"/>
            <w:szCs w:val="24"/>
            <w:lang w:val="hu-HU"/>
          </w:rPr>
          <w:t>2. A</w:t>
        </w:r>
      </w:smartTag>
      <w:r w:rsidRPr="00B1245B">
        <w:rPr>
          <w:rFonts w:ascii="Times New Roman" w:hAnsi="Times New Roman"/>
          <w:sz w:val="24"/>
          <w:szCs w:val="24"/>
          <w:lang w:val="hu-HU"/>
        </w:rPr>
        <w:t xml:space="preserve"> közszféra </w:t>
      </w:r>
      <w:proofErr w:type="gramStart"/>
      <w:r w:rsidRPr="00B1245B">
        <w:rPr>
          <w:rFonts w:ascii="Times New Roman" w:hAnsi="Times New Roman"/>
          <w:sz w:val="24"/>
          <w:szCs w:val="24"/>
          <w:lang w:val="hu-HU"/>
        </w:rPr>
        <w:t>szervezet pályázók</w:t>
      </w:r>
      <w:proofErr w:type="gramEnd"/>
      <w:r w:rsidRPr="00B1245B">
        <w:rPr>
          <w:rFonts w:ascii="Times New Roman" w:hAnsi="Times New Roman"/>
          <w:sz w:val="24"/>
          <w:szCs w:val="24"/>
          <w:lang w:val="hu-HU"/>
        </w:rPr>
        <w:t xml:space="preserve"> esetén a pályáztatás jelenlegi gyakorlata megszűnik. Esetükben az európai uniós jogszabályokkal összhangban, az operatív programok szakmai és pénzügyi céljait figyelembe véve – az ágazati prioritást élvező projekteket előnyben részesítve – a projekt szelekciót egyszerűsített kiválasztási eljárással kell megvalósítani. Az egyszerűsített kiválasztási eljárások előzetes helyzetértékelésen alapulnak majd és a Monitoring Bizottságok szakmai támogatásával összhangban kerülnek kialakításra. </w:t>
      </w: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3. Az európai uniós forrásból megvalósuló projekteket a projektötlet megszületésétől a projekt megvalósulásáig, különösen a pályázati dokumentáció összeállítását, valamint a projektek végrehajtásának támogatását felkészült szakértői bázison alapuló állami kapacitások megteremtésével kell biztosítani a következők szerint:</w:t>
      </w:r>
    </w:p>
    <w:p w:rsidR="006E4C06" w:rsidRPr="00B1245B" w:rsidRDefault="006E4C06" w:rsidP="00481EF6">
      <w:pPr>
        <w:spacing w:after="0" w:line="240" w:lineRule="auto"/>
        <w:jc w:val="both"/>
        <w:rPr>
          <w:rFonts w:ascii="Times New Roman" w:hAnsi="Times New Roman"/>
          <w:sz w:val="24"/>
          <w:szCs w:val="24"/>
          <w:lang w:val="hu-HU"/>
        </w:rPr>
      </w:pPr>
      <w:proofErr w:type="gramStart"/>
      <w:r w:rsidRPr="00B1245B">
        <w:rPr>
          <w:rFonts w:ascii="Times New Roman" w:hAnsi="Times New Roman"/>
          <w:sz w:val="24"/>
          <w:szCs w:val="24"/>
          <w:lang w:val="hu-HU"/>
        </w:rPr>
        <w:t>a</w:t>
      </w:r>
      <w:proofErr w:type="gramEnd"/>
      <w:r w:rsidRPr="00B1245B">
        <w:rPr>
          <w:rFonts w:ascii="Times New Roman" w:hAnsi="Times New Roman"/>
          <w:sz w:val="24"/>
          <w:szCs w:val="24"/>
          <w:lang w:val="hu-HU"/>
        </w:rPr>
        <w:t>) megyei jogú város és megyei önkormányzatok esetében önálló, saját erőforrások biztosításával;</w:t>
      </w: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b) az ágazati szervezetek, minisztériumok esetében állami (központi) kapacitások biztosításával;</w:t>
      </w: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c) helyi- és nemzetiségi önkormányzatok, állami cégek esetében állami (központi) kapacitás biztosításával;</w:t>
      </w: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d) az így kiépített humán kapacitások kisvállalkozók és bevett egyházak számára történő igénybevételét is biztosítani kell.</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smartTag w:uri="urn:schemas-microsoft-com:office:smarttags" w:element="metricconverter">
        <w:smartTagPr>
          <w:attr w:name="ProductID" w:val="4. A"/>
        </w:smartTagPr>
        <w:r w:rsidRPr="00B1245B">
          <w:rPr>
            <w:rFonts w:ascii="Times New Roman" w:hAnsi="Times New Roman"/>
            <w:sz w:val="24"/>
            <w:szCs w:val="24"/>
            <w:lang w:val="hu-HU"/>
          </w:rPr>
          <w:t>4. A</w:t>
        </w:r>
      </w:smartTag>
      <w:r w:rsidRPr="00B1245B">
        <w:rPr>
          <w:rFonts w:ascii="Times New Roman" w:hAnsi="Times New Roman"/>
          <w:sz w:val="24"/>
          <w:szCs w:val="24"/>
          <w:lang w:val="hu-HU"/>
        </w:rPr>
        <w:t xml:space="preserve"> pályázatok értékelését az intézményrendszeren belüli kapacitásokkal kell megoldani, külső erőforrások igénybevétele nélkül. A működéshez szükséges humán kapacitás felkészítését, a transzparencia biztosításának feltételeit elő kell készíteni. A speciális szaktudású értékelők alkalmazására fel kell készülni. Az értékelők számát kontrollálni és tevékenységüket minősíteni kell, az összeférhetetlenségi alapelvek szigorú betartása mellett.</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5. Nem lehet projektmenedzsment költséget lehívni a jövőben a projekt fizikai előrehaladását meghaladó mértékben. A mérnöki feladatokat ellátónak valós felelősségbiztosítással kell rendelkeznie, ezzel is biztosítva a számonkérhetőséget. A közszféra kedvezményezettek esetében állami, belső kapacitás kiépítése szükséges a projektmenedzsment feladatok ellátására. A nagy infrastrukturális projektek, valamint az állami tulajdonhoz kapcsolódó ingatlan beruházások esetében, a tervdokumentáció összeállítása állami szolgáltatásként, állami kapacitással történik meg.</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6. Gondoskodni kell arról, hogy a költségvetési szerv kedvezményezett, valamint az önkormányzat, mint kedvezményezett részére ne kerüljön sor hazai fejlesztési célú költségvetési támogatás folyósítására mindaddig, amíg az európai uniós társfinanszírozású projektjének megvalósítása a támogatási szerződésben rögzített ütemezéshez képest késedelemben van. A késedelem tényéről a Nemzeti Fejlesztési Kormánybizottságot tájékoztatni kell.</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smartTag w:uri="urn:schemas-microsoft-com:office:smarttags" w:element="metricconverter">
        <w:smartTagPr>
          <w:attr w:name="ProductID" w:val="7. A"/>
        </w:smartTagPr>
        <w:r w:rsidRPr="00B1245B">
          <w:rPr>
            <w:rFonts w:ascii="Times New Roman" w:hAnsi="Times New Roman"/>
            <w:sz w:val="24"/>
            <w:szCs w:val="24"/>
            <w:lang w:val="hu-HU"/>
          </w:rPr>
          <w:t>7. A</w:t>
        </w:r>
      </w:smartTag>
      <w:r w:rsidRPr="00B1245B">
        <w:rPr>
          <w:rFonts w:ascii="Times New Roman" w:hAnsi="Times New Roman"/>
          <w:sz w:val="24"/>
          <w:szCs w:val="24"/>
          <w:lang w:val="hu-HU"/>
        </w:rPr>
        <w:t xml:space="preserve"> végrehajtási intézményrendszer szereplői számára ki kell alakítani egy gyakorlatorientált, probléma centrikus továbbképzési rendszert a Karrier Programon keresztül. A szakmai tapasztalatot, felkészültséget – a jelenlegi személyi juttatások megtartásával – a meglévő humán kapacitások folytonosságával egyidejűleg fenn kell tartani. A személyi juttatások fedezetét a nemzeti költségvetés útján szükséges biztosítani. Tudatosítani kell az intézményrendszeri szereplőkben, hogy a közös cél az uniós források hatékony és eredményes felhasználása, amely csak szolgáltatói hozzáállás mellett és a kedvezményezettek szakmai támogatásán keresztül érhető el. </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8. Az európai uniós források felhasználása során a közbeszerzési rendszer olyan irányú átalakítása szükséges, amely hatékonyabbá, átláthatóbbá, szabályosabbá és költségtakarékosabbá teszi a közszféra kedvezményezettek számára a közbeszerzési eljárásokat oly módon, hogy a pályázati konstrukciók sajátosságaihoz igazítottan, keret-megállapodásokból egyszerűsített lehívással tudnak termékeket és szolgáltatásokat beszerezni és építési beruházásokat megvalósítani.</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9. Erősíteni kell a részletes pénzügyi elszámolásokat elhagyó egyszerűsített elszámolási eszközök alkalmazását, amelyen keresztül a kedvezményezettek adminisztratív terhei minimalizálhatók. Ezzel párhuzamosan a végrehajtásban az eredményorientált megvalósítás felé kell elmozdulni.</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10. Ki kell dolgozni a pályázatok gyors és eredményes végrehajtására sarkalló ösztönzőket és a szankciók rendszerét.</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11. A támogatásról szóló döntés tekintetében egyfokú jogorvoslatot kell biztosítani az intézményrendszeren belül. A pályázatok tárgyában hozott döntések nyilvánosságát biztosítani kell. Ugyanez vonatkozzon a kedvezményezettnek a támogatási döntés módosítására vagy visszavonására vonatkozó kérelemére is. A fejlesztéspolitikai jogviszonyra vonatkozó minden más hatáskör gyakorlása esetén a közigazgatási eljárás általános szabályain alapuló eljárást kell előírni a jogszabályban, beleértve a jogorvoslati fórumrendszert is.</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12. Olyan jogi kapacitásokat kell kiépíteni az intézményrendszeren belül, amelyek külső erőforrások bevonása nélkül képesek ellátni az európai uniós pályázatokkal kapcsolatos jogi tanácsadást és perbeli képviseletet is.</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 xml:space="preserve">13. Az európai uniós elvárások mentén, meghatározó állami szerepvállalás mellett, állami tulajdonban lévő szervezeten keresztül kell megvalósítani a pályázati rendszer egységes, nemzeti szintű informatikai nyilvántartását, nyomonkövetését, monitoringozását. A hatékony fejlesztéspolitikai eljárás alapvető feltétele az eljárási cselekmények elektronikus úton történő bonyolításának igénye egy stabilan működő, gyors, átlátható informatikai nyilvántartás kialakításával, összhangban az ún. </w:t>
      </w:r>
      <w:proofErr w:type="gramStart"/>
      <w:r w:rsidRPr="00B1245B">
        <w:rPr>
          <w:rFonts w:ascii="Times New Roman" w:hAnsi="Times New Roman"/>
          <w:sz w:val="24"/>
          <w:szCs w:val="24"/>
          <w:lang w:val="hu-HU"/>
        </w:rPr>
        <w:t>e-kohéziós</w:t>
      </w:r>
      <w:proofErr w:type="gramEnd"/>
      <w:r w:rsidRPr="00B1245B">
        <w:rPr>
          <w:rFonts w:ascii="Times New Roman" w:hAnsi="Times New Roman"/>
          <w:sz w:val="24"/>
          <w:szCs w:val="24"/>
          <w:lang w:val="hu-HU"/>
        </w:rPr>
        <w:t xml:space="preserve"> elvárásokkal is.</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14. Meg kell teremteni az állami adatrendszerekkel való kapcsolatot és a már rendelkezésre álló adatok tágabb felhasználási körét annak érdekében, hogy a kedvezményezettek adatszolgáltatási kötelezettsége csökkenjen.</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15. Az európai uniós projektekkel összefüggésben végzett kommunikációs tevékenységek megvalósítása során a fejlesztéspolitikai üzenetek (pl. arculat) központi megfogalmazása mellett kiemelt cél a helyi, térségi szereplők bevonása a helyi vonatkozású fejlesztések eredményeinek közzétételébe.</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 xml:space="preserve">16. Minden támogatási konstrukciót az egyes eljárási szakaszok lezárását követően (projekt-kiválasztási szakasz, valamint megvalósítási szakasz) elemzés alá kell vonni. Az elemzés eredményét vissza kell csatolni a támogatási </w:t>
      </w:r>
      <w:proofErr w:type="gramStart"/>
      <w:r w:rsidRPr="00B1245B">
        <w:rPr>
          <w:rFonts w:ascii="Times New Roman" w:hAnsi="Times New Roman"/>
          <w:sz w:val="24"/>
          <w:szCs w:val="24"/>
          <w:lang w:val="hu-HU"/>
        </w:rPr>
        <w:t>konstrukció következő</w:t>
      </w:r>
      <w:proofErr w:type="gramEnd"/>
      <w:r w:rsidRPr="00B1245B">
        <w:rPr>
          <w:rFonts w:ascii="Times New Roman" w:hAnsi="Times New Roman"/>
          <w:sz w:val="24"/>
          <w:szCs w:val="24"/>
          <w:lang w:val="hu-HU"/>
        </w:rPr>
        <w:t xml:space="preserve"> pályázati felhívásának, vagy adott esetben más konstrukciók pályázati felhívásainak szabályrendszerébe. Ugyanazon pályázati felhívás kapcsán benyújtott pályázatok bírálata, értékelése és kifizetése azonos, lehetőleg a pályázatok benyújtási időszakának végét követően változatlan szabályok mentén történjen. Az esetleges változtatási igényeket a következő pályázati felhívás szabályrendszerének kialakítása során kell figyelembe venni.</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17. Az uniós projektek végrehajtásához szükséges engedélyezési eljárásokat központosítani, határidejüket rövidíteni kell. Az engedélyezési eljárások lebonyolításához szükséges kapacitásokat uniós forrásból javasolt biztosítani. A jogerős engedélyek megléte szelekciós kritérium kell, hogy legyen.</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smartTag w:uri="urn:schemas-microsoft-com:office:smarttags" w:element="metricconverter">
        <w:smartTagPr>
          <w:attr w:name="ProductID" w:val="18. A"/>
        </w:smartTagPr>
        <w:r w:rsidRPr="00B1245B">
          <w:rPr>
            <w:rFonts w:ascii="Times New Roman" w:hAnsi="Times New Roman"/>
            <w:sz w:val="24"/>
            <w:szCs w:val="24"/>
            <w:lang w:val="hu-HU"/>
          </w:rPr>
          <w:t>18. A</w:t>
        </w:r>
      </w:smartTag>
      <w:r w:rsidRPr="00B1245B">
        <w:rPr>
          <w:rFonts w:ascii="Times New Roman" w:hAnsi="Times New Roman"/>
          <w:sz w:val="24"/>
          <w:szCs w:val="24"/>
          <w:lang w:val="hu-HU"/>
        </w:rPr>
        <w:t xml:space="preserve"> végrehajtás, jogalkalmazás, ellenőrzés, illetve a hozzájuk kapcsolódó garanciák egységes, jogszabályi szintű szabályozásával, valamint a kapcsolódó jogintézmények megfogalmazása révén kell biztosítani a fenti alapelvek érvényesítését, növelve ezzel a jogbiztonságot, a kiszámíthatóságot, egyértelműsítve az egyes szervek feladat és hatáskörét, megteremtve a központi koordináció jogi megalapozottságát. A szabályozás világossága és következetessége érdekében a támogatásban részesülőket terhelő főbb kötelezettségeket is jogszabályban kell kimondani, és </w:t>
      </w:r>
      <w:proofErr w:type="gramStart"/>
      <w:r w:rsidRPr="00B1245B">
        <w:rPr>
          <w:rFonts w:ascii="Times New Roman" w:hAnsi="Times New Roman"/>
          <w:sz w:val="24"/>
          <w:szCs w:val="24"/>
          <w:lang w:val="hu-HU"/>
        </w:rPr>
        <w:t>ezen</w:t>
      </w:r>
      <w:proofErr w:type="gramEnd"/>
      <w:r w:rsidRPr="00B1245B">
        <w:rPr>
          <w:rFonts w:ascii="Times New Roman" w:hAnsi="Times New Roman"/>
          <w:sz w:val="24"/>
          <w:szCs w:val="24"/>
          <w:lang w:val="hu-HU"/>
        </w:rPr>
        <w:t xml:space="preserve"> kötelezettségek nem teljesítéséhez jogkövetkezményt kell kapcsolni. Biztosítani kell továbbá az uniós támogatási alapok – ideértve az európai mezőgazdasági- és vidékfejlesztési alapot, valamint az európai halászati alapot is – egységes eljárásrendek mentén történő felhasználását, összhangban a hazánk által készített Partnerségi Megállapodás alapelveivel, annak érdekében, hogy a kedvezményezetteket ne érintsék hátrányosan az egyes alapok eltérő európai uniós előírásai.</w:t>
      </w:r>
    </w:p>
    <w:p w:rsidR="006E4C06" w:rsidRPr="00B1245B" w:rsidRDefault="006E4C06" w:rsidP="00481EF6">
      <w:pPr>
        <w:spacing w:after="0" w:line="240" w:lineRule="auto"/>
        <w:jc w:val="both"/>
        <w:rPr>
          <w:rFonts w:ascii="Times New Roman" w:hAnsi="Times New Roman"/>
          <w:sz w:val="24"/>
          <w:szCs w:val="24"/>
          <w:lang w:val="hu-HU"/>
        </w:rPr>
      </w:pPr>
    </w:p>
    <w:p w:rsidR="006E4C06" w:rsidRPr="00B1245B" w:rsidRDefault="006E4C06" w:rsidP="00481EF6">
      <w:pPr>
        <w:spacing w:after="0" w:line="240" w:lineRule="auto"/>
        <w:jc w:val="both"/>
        <w:rPr>
          <w:rFonts w:ascii="Times New Roman" w:hAnsi="Times New Roman"/>
          <w:sz w:val="24"/>
          <w:szCs w:val="24"/>
          <w:lang w:val="hu-HU"/>
        </w:rPr>
      </w:pPr>
      <w:r w:rsidRPr="00B1245B">
        <w:rPr>
          <w:rFonts w:ascii="Times New Roman" w:hAnsi="Times New Roman"/>
          <w:sz w:val="24"/>
          <w:szCs w:val="24"/>
          <w:lang w:val="hu-HU"/>
        </w:rPr>
        <w:t>19. Meg kell határozni az intézményrendszeri szereplőket és azok felelősségi körét. A szervezeti és működési szabályzatok elkészítésekor biztosítani kell, hogy a szereplők által ellátandó azonos feladatkörök esetében a költséghatékonyság elveivel összhangban bizonyos funkciók összevontan kerüljenek elvégzésre.</w:t>
      </w:r>
    </w:p>
    <w:p w:rsidR="006E4C06" w:rsidRPr="00B1245B" w:rsidRDefault="006E4C06" w:rsidP="00481EF6">
      <w:pPr>
        <w:jc w:val="both"/>
        <w:rPr>
          <w:rFonts w:ascii="Times New Roman" w:hAnsi="Times New Roman"/>
          <w:sz w:val="24"/>
          <w:szCs w:val="24"/>
          <w:lang w:val="hu-HU"/>
        </w:rPr>
      </w:pPr>
    </w:p>
    <w:p w:rsidR="006E4C06" w:rsidRPr="00B1245B" w:rsidRDefault="00BB5468" w:rsidP="00481EF6">
      <w:pPr>
        <w:autoSpaceDE w:val="0"/>
        <w:autoSpaceDN w:val="0"/>
        <w:adjustRightInd w:val="0"/>
        <w:spacing w:after="0" w:line="240" w:lineRule="auto"/>
        <w:jc w:val="both"/>
        <w:rPr>
          <w:rFonts w:ascii="Times New Roman" w:hAnsi="Times New Roman"/>
          <w:b/>
          <w:bCs/>
          <w:sz w:val="24"/>
          <w:szCs w:val="24"/>
          <w:u w:val="single"/>
          <w:lang w:bidi="ar-SA"/>
        </w:rPr>
      </w:pPr>
      <w:r w:rsidRPr="00B1245B">
        <w:rPr>
          <w:rFonts w:ascii="Times New Roman" w:hAnsi="Times New Roman"/>
          <w:b/>
          <w:bCs/>
          <w:sz w:val="24"/>
          <w:szCs w:val="24"/>
          <w:u w:val="single"/>
          <w:lang w:bidi="ar-SA"/>
        </w:rPr>
        <w:t>Tervezési alapelvek a megyei tervezésben- hazai szabályozás szerint</w:t>
      </w:r>
    </w:p>
    <w:p w:rsidR="00BB5468" w:rsidRPr="00B1245B" w:rsidRDefault="00BB5468" w:rsidP="00481EF6">
      <w:pPr>
        <w:autoSpaceDE w:val="0"/>
        <w:autoSpaceDN w:val="0"/>
        <w:adjustRightInd w:val="0"/>
        <w:spacing w:after="0" w:line="240" w:lineRule="auto"/>
        <w:jc w:val="both"/>
        <w:rPr>
          <w:rFonts w:ascii="Times New Roman" w:hAnsi="Times New Roman"/>
          <w:b/>
          <w:bCs/>
          <w:sz w:val="24"/>
          <w:szCs w:val="24"/>
          <w:lang w:bidi="ar-SA"/>
        </w:rPr>
      </w:pPr>
    </w:p>
    <w:p w:rsidR="006E4C06" w:rsidRPr="00B1245B" w:rsidRDefault="006E4C06" w:rsidP="00481EF6">
      <w:pPr>
        <w:autoSpaceDE w:val="0"/>
        <w:autoSpaceDN w:val="0"/>
        <w:adjustRightInd w:val="0"/>
        <w:spacing w:after="0" w:line="240" w:lineRule="auto"/>
        <w:jc w:val="both"/>
        <w:rPr>
          <w:rFonts w:ascii="Times New Roman" w:hAnsi="Times New Roman"/>
          <w:b/>
          <w:bCs/>
          <w:sz w:val="24"/>
          <w:szCs w:val="24"/>
          <w:lang w:val="hu-HU" w:bidi="ar-SA"/>
        </w:rPr>
      </w:pPr>
      <w:r w:rsidRPr="00B1245B">
        <w:rPr>
          <w:rFonts w:ascii="Times New Roman" w:hAnsi="Times New Roman"/>
          <w:b/>
          <w:bCs/>
          <w:sz w:val="24"/>
          <w:szCs w:val="24"/>
          <w:lang w:val="hu-HU" w:bidi="ar-SA"/>
        </w:rPr>
        <w:t>A Kormány 1831/2013. (XI. 14.) Korm. határozata</w:t>
      </w:r>
    </w:p>
    <w:p w:rsidR="006E4C06" w:rsidRPr="00B1245B" w:rsidRDefault="006E4C06" w:rsidP="00481EF6">
      <w:pPr>
        <w:autoSpaceDE w:val="0"/>
        <w:autoSpaceDN w:val="0"/>
        <w:adjustRightInd w:val="0"/>
        <w:spacing w:after="0" w:line="240" w:lineRule="auto"/>
        <w:jc w:val="both"/>
        <w:rPr>
          <w:rFonts w:ascii="Times New Roman" w:hAnsi="Times New Roman"/>
          <w:b/>
          <w:bCs/>
          <w:sz w:val="24"/>
          <w:szCs w:val="24"/>
          <w:lang w:val="hu-HU" w:bidi="ar-SA"/>
        </w:rPr>
      </w:pPr>
      <w:proofErr w:type="gramStart"/>
      <w:r w:rsidRPr="00B1245B">
        <w:rPr>
          <w:rFonts w:ascii="Times New Roman" w:hAnsi="Times New Roman"/>
          <w:b/>
          <w:bCs/>
          <w:sz w:val="24"/>
          <w:szCs w:val="24"/>
          <w:lang w:val="hu-HU" w:bidi="ar-SA"/>
        </w:rPr>
        <w:t>a</w:t>
      </w:r>
      <w:proofErr w:type="gramEnd"/>
      <w:r w:rsidRPr="00B1245B">
        <w:rPr>
          <w:rFonts w:ascii="Times New Roman" w:hAnsi="Times New Roman"/>
          <w:b/>
          <w:bCs/>
          <w:sz w:val="24"/>
          <w:szCs w:val="24"/>
          <w:lang w:val="hu-HU" w:bidi="ar-SA"/>
        </w:rPr>
        <w:t xml:space="preserve"> 2014–2020 közötti időszakban a Terület- és Településfejlesztési Operatív Program tervezésének egyes szempontja</w:t>
      </w:r>
      <w:bookmarkStart w:id="7" w:name="_GoBack"/>
      <w:bookmarkEnd w:id="7"/>
      <w:r w:rsidRPr="00B1245B">
        <w:rPr>
          <w:rFonts w:ascii="Times New Roman" w:hAnsi="Times New Roman"/>
          <w:b/>
          <w:bCs/>
          <w:sz w:val="24"/>
          <w:szCs w:val="24"/>
          <w:lang w:val="hu-HU" w:bidi="ar-SA"/>
        </w:rPr>
        <w:t>iról, az operatív programhoz tartozó megyék megyei önkormányzatai és a megyei jogú városok önkormányzatai tervezési jogkörébe utalt források megoszlásáról, valamint a 2014–2020 közötti források területi koordinációjának kereteiről szóló 1115/2013. (III. 8.) Korm. határozat módosításáról</w:t>
      </w: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bidi="ar-SA"/>
        </w:rPr>
      </w:pPr>
    </w:p>
    <w:p w:rsidR="006E4C06" w:rsidRPr="00B1245B" w:rsidRDefault="006E4C06" w:rsidP="00481EF6">
      <w:p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A Kormány</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Terület- és Településfejlesztési Operatív Programhoz (a továbbiakban: TOP) tartozó megyékben megvalósuló decentralizált fejlesztések tervezése során a 2014–2020 közötti európai uniós fejlesztési források felhasználásának tervezésével és intézményrendszerének kialakításával összefüggő aktuális feladatokról szóló 1600/2012. (XII. 17.) Korm. határozat 1. pont h) alpontjában a gazdaságfejlesztésre meghatározott arányú forráskeret 26,9%-a kerüljön keretként meghatározásra,</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TOP-ban a decentralizált források tervezése integrált programok kialakításával a következő három területi szinten valósuljon meg:</w:t>
      </w:r>
    </w:p>
    <w:p w:rsidR="006E4C06" w:rsidRPr="00B1245B" w:rsidRDefault="006E4C06" w:rsidP="00481EF6">
      <w:pPr>
        <w:pStyle w:val="Listaszerbekezds"/>
        <w:numPr>
          <w:ilvl w:val="1"/>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megyei szint,</w:t>
      </w:r>
    </w:p>
    <w:p w:rsidR="006E4C06" w:rsidRPr="00B1245B" w:rsidRDefault="006E4C06" w:rsidP="00481EF6">
      <w:pPr>
        <w:pStyle w:val="Listaszerbekezds"/>
        <w:numPr>
          <w:ilvl w:val="1"/>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megyei jogú város szintje, valamint</w:t>
      </w:r>
    </w:p>
    <w:p w:rsidR="006E4C06" w:rsidRPr="00B1245B" w:rsidRDefault="006E4C06" w:rsidP="00481EF6">
      <w:pPr>
        <w:pStyle w:val="Listaszerbekezds"/>
        <w:numPr>
          <w:ilvl w:val="1"/>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várostérség és megyei jogú város térségének szintje,</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figyelembe véve a kohéziós politikai kereteket és a Partnerségi Megállapodás tervezetében rögzítetteket,</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TOP keretében a 2. pont szerint folyó tervezés összehangolásában a megyei önkormányzatok koordinációs szerepet töltsenek be,</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megyei szintű programmal összefüggő tervezési feladatokat a megyei önkormányzatok végezzék el a TOP által meghatározott keretek között,</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4. pontban hivatkozott megyei programok indikatív forráskerete összesen 450 milliárd forint legyen az 1. mellékletben meghatározott, megyék közötti indikatív megoszlás szerint,</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várostérség és a megyei jogú város térsége szintjének területi meghatározása a területfejlesztési statisztikai kistérségek alapján történjen,</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megyei jogú város térségében tervezett fejlesztések illeszkedjenek a megyei jogú város integrált településfejlesztési stratégiájában megfogalmazott fejlesztési irányokhoz, a TOP által meghatározott keretek között,</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várostérségek és a megyei jogú városok térségének fejlesztésével összefüggő tervezési feladatokat a megyei önkormányzatok végezzék el az érintett települési önkormányzatok bevonásával, a TOP által meghatározott keretek között,</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megyei jogú városokkal összefüggő programok indikatív forráskerete összesen 220 milliárd forint legyen azzal, hogy ezen összeg megyei jogú városok közötti indikatív megoszlását a 2. melléklet szerint határozza meg,</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8. pontban hivatkozott várostérségek és megyei jogú városok térségeit érintő fejlesztések indikatív forráskerete összesen 298,08 milliárd forint legyen azzal, hogy ezen összegnek a várostérségek és a megyei jogú városok térségei közötti indikatív megoszlását a 3. melléklet szerint határozza meg,</w:t>
      </w:r>
    </w:p>
    <w:p w:rsidR="006E4C06" w:rsidRPr="00B1245B" w:rsidRDefault="006E4C06" w:rsidP="00481EF6">
      <w:pPr>
        <w:pStyle w:val="Listaszerbekezds"/>
        <w:numPr>
          <w:ilvl w:val="0"/>
          <w:numId w:val="8"/>
        </w:numPr>
        <w:autoSpaceDE w:val="0"/>
        <w:autoSpaceDN w:val="0"/>
        <w:adjustRightInd w:val="0"/>
        <w:spacing w:after="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egyetért azzal, hogy a megyei önkormányzatok a várostérségek és a megyei jogú városok térségének fejlesztése során a 3. mellékletben meghatározott várostérségek és megyei jogú városok térségeinek forráskeretétől a megyei területfejlesztési koncepcióban és programban megfogalmazott célkitűzések megvalósítása, valamint a hátrányos helyzetű térségek felzárkóztatása érdekében tíz százalékkal eltérhetnek a 3. mellékletben a várostérségek és megyei jogú városok térségeinek meghatározott forráskereteitől a megye összes forráskeretén belül</w:t>
      </w:r>
    </w:p>
    <w:p w:rsidR="006E4C06" w:rsidRPr="00B1245B" w:rsidRDefault="006E4C06" w:rsidP="00481EF6">
      <w:pPr>
        <w:jc w:val="both"/>
        <w:rPr>
          <w:rFonts w:ascii="Times New Roman" w:hAnsi="Times New Roman"/>
          <w:sz w:val="24"/>
          <w:szCs w:val="24"/>
          <w:lang w:val="hu-HU"/>
        </w:rPr>
      </w:pPr>
    </w:p>
    <w:p w:rsidR="006E4C06" w:rsidRPr="00B1245B" w:rsidRDefault="006E4C06" w:rsidP="00481EF6">
      <w:pPr>
        <w:jc w:val="both"/>
        <w:rPr>
          <w:rFonts w:ascii="Times New Roman" w:hAnsi="Times New Roman"/>
          <w:b/>
          <w:sz w:val="24"/>
          <w:szCs w:val="24"/>
          <w:u w:val="single"/>
          <w:lang w:val="hu-HU"/>
        </w:rPr>
      </w:pPr>
      <w:proofErr w:type="gramStart"/>
      <w:r w:rsidRPr="00B1245B">
        <w:rPr>
          <w:rFonts w:ascii="Times New Roman" w:hAnsi="Times New Roman"/>
          <w:b/>
          <w:sz w:val="24"/>
          <w:szCs w:val="24"/>
          <w:u w:val="single"/>
          <w:lang w:val="hu-HU"/>
        </w:rPr>
        <w:t>A  2014-2020-as</w:t>
      </w:r>
      <w:proofErr w:type="gramEnd"/>
      <w:r w:rsidRPr="00B1245B">
        <w:rPr>
          <w:rFonts w:ascii="Times New Roman" w:hAnsi="Times New Roman"/>
          <w:b/>
          <w:sz w:val="24"/>
          <w:szCs w:val="24"/>
          <w:u w:val="single"/>
          <w:lang w:val="hu-HU"/>
        </w:rPr>
        <w:t xml:space="preserve"> tervezést befolyásoló Európai Uniós jogszabályok</w:t>
      </w:r>
    </w:p>
    <w:p w:rsidR="00105889" w:rsidRPr="00B1245B" w:rsidRDefault="00105889" w:rsidP="00481EF6">
      <w:pPr>
        <w:autoSpaceDE w:val="0"/>
        <w:autoSpaceDN w:val="0"/>
        <w:adjustRightInd w:val="0"/>
        <w:spacing w:before="20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AZ EURÓPAI PARLAMENT </w:t>
      </w:r>
      <w:proofErr w:type="gramStart"/>
      <w:r w:rsidRPr="00B1245B">
        <w:rPr>
          <w:rFonts w:ascii="Times New Roman" w:hAnsi="Times New Roman"/>
          <w:sz w:val="24"/>
          <w:szCs w:val="24"/>
          <w:lang w:val="hu-HU" w:bidi="ar-SA"/>
        </w:rPr>
        <w:t>ÉS</w:t>
      </w:r>
      <w:proofErr w:type="gramEnd"/>
      <w:r w:rsidRPr="00B1245B">
        <w:rPr>
          <w:rFonts w:ascii="Times New Roman" w:hAnsi="Times New Roman"/>
          <w:sz w:val="24"/>
          <w:szCs w:val="24"/>
          <w:lang w:val="hu-HU" w:bidi="ar-SA"/>
        </w:rPr>
        <w:t xml:space="preserve"> A TANÁCS </w:t>
      </w:r>
      <w:r w:rsidRPr="00B1245B">
        <w:rPr>
          <w:rFonts w:ascii="Times New Roman" w:hAnsi="Times New Roman"/>
          <w:b/>
          <w:sz w:val="24"/>
          <w:szCs w:val="24"/>
          <w:lang w:val="hu-HU" w:bidi="ar-SA"/>
        </w:rPr>
        <w:t>1303/2013/EU RENDELETE</w:t>
      </w:r>
      <w:r w:rsidRPr="00B1245B">
        <w:rPr>
          <w:rFonts w:ascii="Times New Roman" w:hAnsi="Times New Roman"/>
          <w:sz w:val="24"/>
          <w:szCs w:val="24"/>
          <w:lang w:val="hu-HU" w:bidi="ar-SA"/>
        </w:rPr>
        <w:t xml:space="preserve"> </w:t>
      </w:r>
    </w:p>
    <w:p w:rsidR="00105889" w:rsidRPr="00B1245B" w:rsidRDefault="00105889" w:rsidP="00481EF6">
      <w:pPr>
        <w:autoSpaceDE w:val="0"/>
        <w:autoSpaceDN w:val="0"/>
        <w:adjustRightInd w:val="0"/>
        <w:spacing w:before="20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(2013. december 17.)</w:t>
      </w:r>
    </w:p>
    <w:p w:rsidR="00105889" w:rsidRPr="00B1245B" w:rsidRDefault="00105889" w:rsidP="00481EF6">
      <w:pPr>
        <w:jc w:val="both"/>
        <w:rPr>
          <w:rFonts w:ascii="Times New Roman" w:hAnsi="Times New Roman"/>
          <w:sz w:val="24"/>
          <w:szCs w:val="24"/>
          <w:lang w:val="hu-HU" w:bidi="ar-SA"/>
        </w:rPr>
      </w:pPr>
      <w:proofErr w:type="gramStart"/>
      <w:r w:rsidRPr="00B1245B">
        <w:rPr>
          <w:rFonts w:ascii="Times New Roman" w:hAnsi="Times New Roman"/>
          <w:sz w:val="24"/>
          <w:szCs w:val="24"/>
          <w:lang w:val="hu-HU" w:bidi="ar-SA"/>
        </w:rPr>
        <w:t>az</w:t>
      </w:r>
      <w:proofErr w:type="gramEnd"/>
      <w:r w:rsidRPr="00B1245B">
        <w:rPr>
          <w:rFonts w:ascii="Times New Roman" w:hAnsi="Times New Roman"/>
          <w:sz w:val="24"/>
          <w:szCs w:val="24"/>
          <w:lang w:val="hu-HU" w:bidi="ar-SA"/>
        </w:rPr>
        <w:t xml:space="preserve">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w:t>
      </w:r>
    </w:p>
    <w:p w:rsidR="00105889" w:rsidRPr="00B1245B" w:rsidRDefault="00105889"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AZ EURÓPAI PARLAMENT </w:t>
      </w:r>
      <w:proofErr w:type="gramStart"/>
      <w:r w:rsidRPr="00B1245B">
        <w:rPr>
          <w:rFonts w:ascii="Times New Roman" w:hAnsi="Times New Roman"/>
          <w:sz w:val="24"/>
          <w:szCs w:val="24"/>
          <w:lang w:val="hu-HU" w:bidi="ar-SA"/>
        </w:rPr>
        <w:t>ÉS</w:t>
      </w:r>
      <w:proofErr w:type="gramEnd"/>
      <w:r w:rsidRPr="00B1245B">
        <w:rPr>
          <w:rFonts w:ascii="Times New Roman" w:hAnsi="Times New Roman"/>
          <w:sz w:val="24"/>
          <w:szCs w:val="24"/>
          <w:lang w:val="hu-HU" w:bidi="ar-SA"/>
        </w:rPr>
        <w:t xml:space="preserve"> A TANÁCS </w:t>
      </w:r>
      <w:r w:rsidRPr="00B1245B">
        <w:rPr>
          <w:rFonts w:ascii="Times New Roman" w:hAnsi="Times New Roman"/>
          <w:b/>
          <w:sz w:val="24"/>
          <w:szCs w:val="24"/>
          <w:lang w:val="hu-HU" w:bidi="ar-SA"/>
        </w:rPr>
        <w:t>1301/2013/EU RENDELETE</w:t>
      </w:r>
    </w:p>
    <w:p w:rsidR="00105889" w:rsidRPr="00B1245B" w:rsidRDefault="00105889"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(2013. december 17.)</w:t>
      </w:r>
    </w:p>
    <w:p w:rsidR="00105889" w:rsidRPr="00B1245B" w:rsidRDefault="00105889" w:rsidP="00481EF6">
      <w:pPr>
        <w:jc w:val="both"/>
        <w:rPr>
          <w:rFonts w:ascii="Times New Roman" w:hAnsi="Times New Roman"/>
          <w:sz w:val="24"/>
          <w:szCs w:val="24"/>
          <w:lang w:val="hu-HU" w:bidi="ar-SA"/>
        </w:rPr>
      </w:pPr>
      <w:r w:rsidRPr="00B1245B">
        <w:rPr>
          <w:rFonts w:ascii="Times New Roman" w:hAnsi="Times New Roman"/>
          <w:sz w:val="24"/>
          <w:szCs w:val="24"/>
          <w:lang w:val="hu-HU" w:bidi="ar-SA"/>
        </w:rPr>
        <w:t>az Európai Regionális Fejlesztési Alapról és a „Beruházás a növekedésbe és munkahelyteremtésbe</w:t>
      </w:r>
      <w:proofErr w:type="gramStart"/>
      <w:r w:rsidRPr="00B1245B">
        <w:rPr>
          <w:rFonts w:ascii="Times New Roman" w:hAnsi="Times New Roman"/>
          <w:sz w:val="24"/>
          <w:szCs w:val="24"/>
          <w:lang w:val="hu-HU" w:bidi="ar-SA"/>
        </w:rPr>
        <w:t>”célkitűzésről</w:t>
      </w:r>
      <w:proofErr w:type="gramEnd"/>
      <w:r w:rsidRPr="00B1245B">
        <w:rPr>
          <w:rFonts w:ascii="Times New Roman" w:hAnsi="Times New Roman"/>
          <w:sz w:val="24"/>
          <w:szCs w:val="24"/>
          <w:lang w:val="hu-HU" w:bidi="ar-SA"/>
        </w:rPr>
        <w:t xml:space="preserve"> szóló egyedi rendelkezésekről, valamint az 1080/2006/EK rendelet hatályon kívül helyezéséről</w:t>
      </w:r>
    </w:p>
    <w:p w:rsidR="00105889" w:rsidRPr="00B1245B" w:rsidRDefault="00105889"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AZ EURÓPAI PARLAMENT </w:t>
      </w:r>
      <w:proofErr w:type="gramStart"/>
      <w:r w:rsidRPr="00B1245B">
        <w:rPr>
          <w:rFonts w:ascii="Times New Roman" w:hAnsi="Times New Roman"/>
          <w:sz w:val="24"/>
          <w:szCs w:val="24"/>
          <w:lang w:val="hu-HU" w:bidi="ar-SA"/>
        </w:rPr>
        <w:t>ÉS</w:t>
      </w:r>
      <w:proofErr w:type="gramEnd"/>
      <w:r w:rsidRPr="00B1245B">
        <w:rPr>
          <w:rFonts w:ascii="Times New Roman" w:hAnsi="Times New Roman"/>
          <w:sz w:val="24"/>
          <w:szCs w:val="24"/>
          <w:lang w:val="hu-HU" w:bidi="ar-SA"/>
        </w:rPr>
        <w:t xml:space="preserve"> A TANÁCS </w:t>
      </w:r>
      <w:r w:rsidRPr="00B1245B">
        <w:rPr>
          <w:rFonts w:ascii="Times New Roman" w:hAnsi="Times New Roman"/>
          <w:b/>
          <w:sz w:val="24"/>
          <w:szCs w:val="24"/>
          <w:lang w:val="hu-HU" w:bidi="ar-SA"/>
        </w:rPr>
        <w:t>1304/2013/EU RENDELETE</w:t>
      </w:r>
    </w:p>
    <w:p w:rsidR="00105889" w:rsidRPr="00B1245B" w:rsidRDefault="00105889"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(2013. december 17-én) </w:t>
      </w:r>
    </w:p>
    <w:p w:rsidR="00105889" w:rsidRPr="00B1245B" w:rsidRDefault="00105889" w:rsidP="00481EF6">
      <w:pPr>
        <w:autoSpaceDE w:val="0"/>
        <w:autoSpaceDN w:val="0"/>
        <w:adjustRightInd w:val="0"/>
        <w:spacing w:before="60" w:after="60" w:line="240" w:lineRule="auto"/>
        <w:jc w:val="both"/>
        <w:rPr>
          <w:rFonts w:ascii="Times New Roman" w:hAnsi="Times New Roman"/>
          <w:sz w:val="24"/>
          <w:szCs w:val="24"/>
          <w:lang w:val="hu-HU" w:bidi="ar-SA"/>
        </w:rPr>
      </w:pPr>
      <w:proofErr w:type="gramStart"/>
      <w:r w:rsidRPr="00B1245B">
        <w:rPr>
          <w:rFonts w:ascii="Times New Roman" w:hAnsi="Times New Roman"/>
          <w:sz w:val="24"/>
          <w:szCs w:val="24"/>
          <w:lang w:val="hu-HU" w:bidi="ar-SA"/>
        </w:rPr>
        <w:t>az</w:t>
      </w:r>
      <w:proofErr w:type="gramEnd"/>
      <w:r w:rsidRPr="00B1245B">
        <w:rPr>
          <w:rFonts w:ascii="Times New Roman" w:hAnsi="Times New Roman"/>
          <w:sz w:val="24"/>
          <w:szCs w:val="24"/>
          <w:lang w:val="hu-HU" w:bidi="ar-SA"/>
        </w:rPr>
        <w:t xml:space="preserve"> Európai Szociális Alapról és az 1081/2006/EK tanácsi rendelet hatályon kívül helyezéséről</w:t>
      </w:r>
    </w:p>
    <w:p w:rsidR="00105889" w:rsidRPr="00B1245B" w:rsidRDefault="00105889" w:rsidP="00481EF6">
      <w:pPr>
        <w:autoSpaceDE w:val="0"/>
        <w:autoSpaceDN w:val="0"/>
        <w:adjustRightInd w:val="0"/>
        <w:spacing w:before="60" w:after="60" w:line="240" w:lineRule="auto"/>
        <w:jc w:val="both"/>
        <w:rPr>
          <w:rFonts w:ascii="Times New Roman" w:hAnsi="Times New Roman"/>
          <w:sz w:val="24"/>
          <w:szCs w:val="24"/>
          <w:lang w:val="hu-HU" w:bidi="ar-SA"/>
        </w:rPr>
      </w:pPr>
    </w:p>
    <w:p w:rsidR="00105889" w:rsidRPr="00B1245B" w:rsidRDefault="00105889"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AZ EURÓPAI PARLAMENT </w:t>
      </w:r>
      <w:proofErr w:type="gramStart"/>
      <w:r w:rsidRPr="00B1245B">
        <w:rPr>
          <w:rFonts w:ascii="Times New Roman" w:hAnsi="Times New Roman"/>
          <w:sz w:val="24"/>
          <w:szCs w:val="24"/>
          <w:lang w:val="hu-HU" w:bidi="ar-SA"/>
        </w:rPr>
        <w:t>ÉS</w:t>
      </w:r>
      <w:proofErr w:type="gramEnd"/>
      <w:r w:rsidRPr="00B1245B">
        <w:rPr>
          <w:rFonts w:ascii="Times New Roman" w:hAnsi="Times New Roman"/>
          <w:sz w:val="24"/>
          <w:szCs w:val="24"/>
          <w:lang w:val="hu-HU" w:bidi="ar-SA"/>
        </w:rPr>
        <w:t xml:space="preserve"> A TANÁCS </w:t>
      </w:r>
      <w:r w:rsidRPr="00B1245B">
        <w:rPr>
          <w:rFonts w:ascii="Times New Roman" w:hAnsi="Times New Roman"/>
          <w:b/>
          <w:sz w:val="24"/>
          <w:szCs w:val="24"/>
          <w:lang w:val="hu-HU" w:bidi="ar-SA"/>
        </w:rPr>
        <w:t>1299/2013/EU RENDELETE</w:t>
      </w:r>
    </w:p>
    <w:p w:rsidR="00105889" w:rsidRPr="00B1245B" w:rsidRDefault="00105889"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(2013. december 17.)</w:t>
      </w:r>
    </w:p>
    <w:p w:rsidR="00105889" w:rsidRPr="00B1245B" w:rsidRDefault="00105889" w:rsidP="00481EF6">
      <w:pPr>
        <w:jc w:val="both"/>
        <w:rPr>
          <w:rFonts w:ascii="Times New Roman" w:hAnsi="Times New Roman"/>
          <w:sz w:val="24"/>
          <w:szCs w:val="24"/>
          <w:lang w:val="hu-HU" w:bidi="ar-SA"/>
        </w:rPr>
      </w:pPr>
      <w:proofErr w:type="gramStart"/>
      <w:r w:rsidRPr="00B1245B">
        <w:rPr>
          <w:rFonts w:ascii="Times New Roman" w:hAnsi="Times New Roman"/>
          <w:sz w:val="24"/>
          <w:szCs w:val="24"/>
          <w:lang w:val="hu-HU" w:bidi="ar-SA"/>
        </w:rPr>
        <w:t>az</w:t>
      </w:r>
      <w:proofErr w:type="gramEnd"/>
      <w:r w:rsidRPr="00B1245B">
        <w:rPr>
          <w:rFonts w:ascii="Times New Roman" w:hAnsi="Times New Roman"/>
          <w:sz w:val="24"/>
          <w:szCs w:val="24"/>
          <w:lang w:val="hu-HU" w:bidi="ar-SA"/>
        </w:rPr>
        <w:t xml:space="preserve"> Európai Regionális Fejlesztési Alap által az európai területi együttműködési célkitűzésnek nyújtott támogatásra vonatkozó egyedi rendelkezésekről</w:t>
      </w:r>
    </w:p>
    <w:p w:rsidR="00927668" w:rsidRPr="00B1245B" w:rsidRDefault="00927668" w:rsidP="00481EF6">
      <w:pPr>
        <w:jc w:val="both"/>
        <w:rPr>
          <w:rFonts w:ascii="Times New Roman" w:hAnsi="Times New Roman"/>
          <w:sz w:val="24"/>
          <w:szCs w:val="24"/>
          <w:lang w:val="hu-HU" w:bidi="ar-SA"/>
        </w:rPr>
      </w:pPr>
    </w:p>
    <w:p w:rsidR="00927668" w:rsidRPr="00B1245B" w:rsidRDefault="00927668" w:rsidP="00481EF6">
      <w:pPr>
        <w:spacing w:before="100" w:beforeAutospacing="1" w:after="100" w:afterAutospacing="1" w:line="240" w:lineRule="auto"/>
        <w:ind w:left="720" w:firstLine="696"/>
        <w:jc w:val="both"/>
        <w:rPr>
          <w:rFonts w:ascii="Times New Roman" w:hAnsi="Times New Roman"/>
          <w:sz w:val="24"/>
          <w:szCs w:val="24"/>
          <w:lang w:eastAsia="hu-HU"/>
        </w:rPr>
      </w:pPr>
    </w:p>
    <w:p w:rsidR="00927668" w:rsidRPr="00B1245B" w:rsidRDefault="00927668" w:rsidP="00481EF6">
      <w:pPr>
        <w:spacing w:before="100" w:beforeAutospacing="1" w:after="100" w:afterAutospacing="1" w:line="240" w:lineRule="auto"/>
        <w:ind w:left="720" w:firstLine="696"/>
        <w:jc w:val="both"/>
        <w:rPr>
          <w:rFonts w:ascii="Times New Roman" w:hAnsi="Times New Roman"/>
          <w:sz w:val="24"/>
          <w:szCs w:val="24"/>
          <w:lang w:eastAsia="hu-HU"/>
        </w:rPr>
      </w:pPr>
    </w:p>
    <w:p w:rsidR="00927668" w:rsidRPr="00B1245B" w:rsidRDefault="00927668" w:rsidP="00481EF6">
      <w:pPr>
        <w:spacing w:before="100" w:beforeAutospacing="1" w:after="100" w:afterAutospacing="1" w:line="240" w:lineRule="auto"/>
        <w:ind w:left="720" w:firstLine="696"/>
        <w:jc w:val="both"/>
        <w:rPr>
          <w:rFonts w:ascii="Times New Roman" w:hAnsi="Times New Roman"/>
          <w:sz w:val="24"/>
          <w:szCs w:val="24"/>
          <w:lang w:eastAsia="hu-HU"/>
        </w:rPr>
      </w:pPr>
    </w:p>
    <w:p w:rsidR="0008145F" w:rsidRPr="00B1245B" w:rsidRDefault="0008145F" w:rsidP="00481EF6">
      <w:pPr>
        <w:autoSpaceDE w:val="0"/>
        <w:autoSpaceDN w:val="0"/>
        <w:adjustRightInd w:val="0"/>
        <w:spacing w:before="60" w:after="60" w:line="240" w:lineRule="auto"/>
        <w:jc w:val="both"/>
        <w:rPr>
          <w:rFonts w:ascii="Times New Roman" w:hAnsi="Times New Roman"/>
          <w:sz w:val="24"/>
          <w:szCs w:val="24"/>
          <w:lang w:eastAsia="hu-HU"/>
        </w:rPr>
      </w:pPr>
    </w:p>
    <w:p w:rsidR="0008145F" w:rsidRPr="00B1245B" w:rsidRDefault="00927668" w:rsidP="00481EF6">
      <w:pPr>
        <w:autoSpaceDE w:val="0"/>
        <w:autoSpaceDN w:val="0"/>
        <w:adjustRightInd w:val="0"/>
        <w:spacing w:before="60" w:after="60" w:line="240" w:lineRule="auto"/>
        <w:rPr>
          <w:rFonts w:ascii="Times New Roman" w:hAnsi="Times New Roman"/>
          <w:sz w:val="24"/>
          <w:szCs w:val="24"/>
          <w:lang w:val="hu-HU" w:bidi="ar-SA"/>
        </w:rPr>
      </w:pPr>
      <w:r w:rsidRPr="00B1245B">
        <w:rPr>
          <w:rFonts w:ascii="Times New Roman" w:hAnsi="Times New Roman"/>
          <w:sz w:val="24"/>
          <w:szCs w:val="24"/>
          <w:lang w:val="hu-HU" w:bidi="ar-SA"/>
        </w:rPr>
        <w:t xml:space="preserve">AZ EURÓPAI PARLAMENT </w:t>
      </w:r>
      <w:proofErr w:type="gramStart"/>
      <w:r w:rsidRPr="00B1245B">
        <w:rPr>
          <w:rFonts w:ascii="Times New Roman" w:hAnsi="Times New Roman"/>
          <w:sz w:val="24"/>
          <w:szCs w:val="24"/>
          <w:lang w:val="hu-HU" w:bidi="ar-SA"/>
        </w:rPr>
        <w:t>ÉS</w:t>
      </w:r>
      <w:proofErr w:type="gramEnd"/>
      <w:r w:rsidRPr="00B1245B">
        <w:rPr>
          <w:rFonts w:ascii="Times New Roman" w:hAnsi="Times New Roman"/>
          <w:sz w:val="24"/>
          <w:szCs w:val="24"/>
          <w:lang w:val="hu-HU" w:bidi="ar-SA"/>
        </w:rPr>
        <w:t xml:space="preserve"> A TANÁCS </w:t>
      </w:r>
      <w:r w:rsidRPr="00B1245B">
        <w:rPr>
          <w:rFonts w:ascii="Times New Roman" w:hAnsi="Times New Roman"/>
          <w:b/>
          <w:sz w:val="24"/>
          <w:szCs w:val="24"/>
          <w:lang w:val="hu-HU" w:bidi="ar-SA"/>
        </w:rPr>
        <w:t>1300/2013/EU RENDELETE</w:t>
      </w:r>
      <w:r w:rsidRPr="00B1245B">
        <w:rPr>
          <w:rFonts w:ascii="Times New Roman" w:hAnsi="Times New Roman"/>
          <w:sz w:val="24"/>
          <w:szCs w:val="24"/>
          <w:lang w:val="hu-HU" w:bidi="ar-SA"/>
        </w:rPr>
        <w:t xml:space="preserve"> </w:t>
      </w:r>
    </w:p>
    <w:p w:rsidR="0008145F" w:rsidRPr="00B1245B" w:rsidRDefault="00927668"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(2013. december 17.) </w:t>
      </w:r>
    </w:p>
    <w:p w:rsidR="00927668" w:rsidRPr="00B1245B" w:rsidRDefault="0008145F"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A</w:t>
      </w:r>
      <w:r w:rsidR="00927668" w:rsidRPr="00B1245B">
        <w:rPr>
          <w:rFonts w:ascii="Times New Roman" w:hAnsi="Times New Roman"/>
          <w:sz w:val="24"/>
          <w:szCs w:val="24"/>
          <w:lang w:val="hu-HU" w:bidi="ar-SA"/>
        </w:rPr>
        <w:t xml:space="preserve"> Kohéziós Alapról, és az 1084/2006/EK tanácsi rendelet hatályon kívül helyezéséről</w:t>
      </w:r>
    </w:p>
    <w:p w:rsidR="0008145F" w:rsidRPr="00B1245B" w:rsidRDefault="0008145F" w:rsidP="00481EF6">
      <w:pPr>
        <w:autoSpaceDE w:val="0"/>
        <w:autoSpaceDN w:val="0"/>
        <w:adjustRightInd w:val="0"/>
        <w:spacing w:before="60" w:after="60" w:line="240" w:lineRule="auto"/>
        <w:jc w:val="both"/>
        <w:rPr>
          <w:rFonts w:ascii="Times New Roman" w:hAnsi="Times New Roman"/>
          <w:sz w:val="24"/>
          <w:szCs w:val="24"/>
          <w:lang w:val="hu-HU" w:bidi="ar-SA"/>
        </w:rPr>
      </w:pPr>
    </w:p>
    <w:p w:rsidR="0008145F" w:rsidRPr="00B1245B" w:rsidRDefault="00927668"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AZ EURÓPAI PARLAMENT </w:t>
      </w:r>
      <w:proofErr w:type="gramStart"/>
      <w:r w:rsidRPr="00B1245B">
        <w:rPr>
          <w:rFonts w:ascii="Times New Roman" w:hAnsi="Times New Roman"/>
          <w:sz w:val="24"/>
          <w:szCs w:val="24"/>
          <w:lang w:val="hu-HU" w:bidi="ar-SA"/>
        </w:rPr>
        <w:t>ÉS</w:t>
      </w:r>
      <w:proofErr w:type="gramEnd"/>
      <w:r w:rsidRPr="00B1245B">
        <w:rPr>
          <w:rFonts w:ascii="Times New Roman" w:hAnsi="Times New Roman"/>
          <w:sz w:val="24"/>
          <w:szCs w:val="24"/>
          <w:lang w:val="hu-HU" w:bidi="ar-SA"/>
        </w:rPr>
        <w:t xml:space="preserve"> A TANÁCS </w:t>
      </w:r>
      <w:r w:rsidRPr="00B1245B">
        <w:rPr>
          <w:rFonts w:ascii="Times New Roman" w:hAnsi="Times New Roman"/>
          <w:b/>
          <w:sz w:val="24"/>
          <w:szCs w:val="24"/>
          <w:lang w:val="hu-HU" w:bidi="ar-SA"/>
        </w:rPr>
        <w:t>1302/2013/EU RENDELETE</w:t>
      </w:r>
      <w:r w:rsidRPr="00B1245B">
        <w:rPr>
          <w:rFonts w:ascii="Times New Roman" w:hAnsi="Times New Roman"/>
          <w:sz w:val="24"/>
          <w:szCs w:val="24"/>
          <w:lang w:val="hu-HU" w:bidi="ar-SA"/>
        </w:rPr>
        <w:t xml:space="preserve"> </w:t>
      </w:r>
    </w:p>
    <w:p w:rsidR="0008145F" w:rsidRPr="00B1245B" w:rsidRDefault="00927668"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(2013. december 17.) </w:t>
      </w:r>
    </w:p>
    <w:p w:rsidR="0019432D" w:rsidRPr="00B1245B" w:rsidRDefault="0008145F"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A</w:t>
      </w:r>
      <w:r w:rsidR="00927668" w:rsidRPr="00B1245B">
        <w:rPr>
          <w:rFonts w:ascii="Times New Roman" w:hAnsi="Times New Roman"/>
          <w:sz w:val="24"/>
          <w:szCs w:val="24"/>
          <w:lang w:val="hu-HU" w:bidi="ar-SA"/>
        </w:rPr>
        <w:t>z európai területi együttműködési csoportosulásról szóló 1082/2006/EK rendeletnek a csoportosulások létrehozásának és működésének egyértelművé tétele, egyszerűsítése és javítása tekintetében történő módosításáról</w:t>
      </w:r>
    </w:p>
    <w:p w:rsidR="002B2BCF" w:rsidRPr="00B1245B" w:rsidRDefault="002B2BCF" w:rsidP="00481EF6">
      <w:pPr>
        <w:autoSpaceDE w:val="0"/>
        <w:autoSpaceDN w:val="0"/>
        <w:adjustRightInd w:val="0"/>
        <w:spacing w:before="60" w:after="60" w:line="240" w:lineRule="auto"/>
        <w:jc w:val="both"/>
        <w:rPr>
          <w:rFonts w:ascii="Times New Roman" w:hAnsi="Times New Roman"/>
          <w:sz w:val="24"/>
          <w:szCs w:val="24"/>
          <w:lang w:val="hu-HU" w:bidi="ar-SA"/>
        </w:rPr>
      </w:pPr>
    </w:p>
    <w:p w:rsidR="002B2BCF" w:rsidRPr="00B1245B" w:rsidRDefault="002B2BCF"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 xml:space="preserve">A BIZOTTSÁG </w:t>
      </w:r>
      <w:r w:rsidRPr="00B1245B">
        <w:rPr>
          <w:rFonts w:ascii="Times New Roman" w:hAnsi="Times New Roman"/>
          <w:b/>
          <w:sz w:val="24"/>
          <w:szCs w:val="24"/>
          <w:lang w:val="hu-HU" w:bidi="ar-SA"/>
        </w:rPr>
        <w:t>651/2014/EU RENDELETE</w:t>
      </w:r>
    </w:p>
    <w:p w:rsidR="002B2BCF" w:rsidRPr="00B1245B" w:rsidRDefault="002B2BCF" w:rsidP="00481EF6">
      <w:pPr>
        <w:autoSpaceDE w:val="0"/>
        <w:autoSpaceDN w:val="0"/>
        <w:adjustRightInd w:val="0"/>
        <w:spacing w:before="60" w:after="60" w:line="240" w:lineRule="auto"/>
        <w:jc w:val="both"/>
        <w:rPr>
          <w:rFonts w:ascii="Times New Roman" w:hAnsi="Times New Roman"/>
          <w:sz w:val="24"/>
          <w:szCs w:val="24"/>
          <w:lang w:val="hu-HU" w:bidi="ar-SA"/>
        </w:rPr>
      </w:pPr>
      <w:r w:rsidRPr="00B1245B">
        <w:rPr>
          <w:rFonts w:ascii="Times New Roman" w:hAnsi="Times New Roman"/>
          <w:sz w:val="24"/>
          <w:szCs w:val="24"/>
          <w:lang w:val="hu-HU" w:bidi="ar-SA"/>
        </w:rPr>
        <w:t>(2014. június 17.)</w:t>
      </w:r>
    </w:p>
    <w:p w:rsidR="002B2BCF" w:rsidRPr="00B1245B" w:rsidRDefault="002B2BCF" w:rsidP="00481EF6">
      <w:pPr>
        <w:autoSpaceDE w:val="0"/>
        <w:autoSpaceDN w:val="0"/>
        <w:adjustRightInd w:val="0"/>
        <w:spacing w:before="60" w:after="60" w:line="240" w:lineRule="auto"/>
        <w:jc w:val="both"/>
        <w:rPr>
          <w:rFonts w:ascii="Times New Roman" w:hAnsi="Times New Roman"/>
          <w:sz w:val="24"/>
          <w:szCs w:val="24"/>
          <w:lang w:val="hu-HU" w:bidi="ar-SA"/>
        </w:rPr>
      </w:pPr>
      <w:proofErr w:type="spellStart"/>
      <w:r w:rsidRPr="00B1245B">
        <w:rPr>
          <w:rFonts w:ascii="Times New Roman" w:hAnsi="Times New Roman"/>
          <w:sz w:val="24"/>
          <w:szCs w:val="24"/>
          <w:lang w:eastAsia="hu-HU"/>
        </w:rPr>
        <w:t>Bizonyos</w:t>
      </w:r>
      <w:proofErr w:type="spellEnd"/>
      <w:r w:rsidRPr="00B1245B">
        <w:rPr>
          <w:rFonts w:ascii="Times New Roman" w:hAnsi="Times New Roman"/>
          <w:sz w:val="24"/>
          <w:szCs w:val="24"/>
          <w:lang w:eastAsia="hu-HU"/>
        </w:rPr>
        <w:t xml:space="preserve"> </w:t>
      </w:r>
      <w:proofErr w:type="spellStart"/>
      <w:r w:rsidRPr="00B1245B">
        <w:rPr>
          <w:rFonts w:ascii="Times New Roman" w:hAnsi="Times New Roman"/>
          <w:sz w:val="24"/>
          <w:szCs w:val="24"/>
          <w:lang w:eastAsia="hu-HU"/>
        </w:rPr>
        <w:t>támogatási</w:t>
      </w:r>
      <w:proofErr w:type="spellEnd"/>
      <w:r w:rsidRPr="00B1245B">
        <w:rPr>
          <w:rFonts w:ascii="Times New Roman" w:hAnsi="Times New Roman"/>
          <w:sz w:val="24"/>
          <w:szCs w:val="24"/>
          <w:lang w:eastAsia="hu-HU"/>
        </w:rPr>
        <w:t xml:space="preserve"> </w:t>
      </w:r>
      <w:proofErr w:type="spellStart"/>
      <w:r w:rsidRPr="00B1245B">
        <w:rPr>
          <w:rFonts w:ascii="Times New Roman" w:hAnsi="Times New Roman"/>
          <w:sz w:val="24"/>
          <w:szCs w:val="24"/>
          <w:lang w:eastAsia="hu-HU"/>
        </w:rPr>
        <w:t>kategóriáknak</w:t>
      </w:r>
      <w:proofErr w:type="spellEnd"/>
      <w:r w:rsidRPr="00B1245B">
        <w:rPr>
          <w:rFonts w:ascii="Times New Roman" w:hAnsi="Times New Roman"/>
          <w:sz w:val="24"/>
          <w:szCs w:val="24"/>
          <w:lang w:eastAsia="hu-HU"/>
        </w:rPr>
        <w:t xml:space="preserve"> a </w:t>
      </w:r>
      <w:proofErr w:type="spellStart"/>
      <w:r w:rsidRPr="00B1245B">
        <w:rPr>
          <w:rFonts w:ascii="Times New Roman" w:hAnsi="Times New Roman"/>
          <w:sz w:val="24"/>
          <w:szCs w:val="24"/>
          <w:lang w:eastAsia="hu-HU"/>
        </w:rPr>
        <w:t>belső</w:t>
      </w:r>
      <w:proofErr w:type="spellEnd"/>
      <w:r w:rsidRPr="00B1245B">
        <w:rPr>
          <w:rFonts w:ascii="Times New Roman" w:hAnsi="Times New Roman"/>
          <w:sz w:val="24"/>
          <w:szCs w:val="24"/>
          <w:lang w:eastAsia="hu-HU"/>
        </w:rPr>
        <w:t xml:space="preserve"> </w:t>
      </w:r>
      <w:proofErr w:type="spellStart"/>
      <w:r w:rsidRPr="00B1245B">
        <w:rPr>
          <w:rFonts w:ascii="Times New Roman" w:hAnsi="Times New Roman"/>
          <w:sz w:val="24"/>
          <w:szCs w:val="24"/>
          <w:lang w:eastAsia="hu-HU"/>
        </w:rPr>
        <w:t>piaccal</w:t>
      </w:r>
      <w:proofErr w:type="spellEnd"/>
      <w:r w:rsidRPr="00B1245B">
        <w:rPr>
          <w:rFonts w:ascii="Times New Roman" w:hAnsi="Times New Roman"/>
          <w:sz w:val="24"/>
          <w:szCs w:val="24"/>
          <w:lang w:eastAsia="hu-HU"/>
        </w:rPr>
        <w:t xml:space="preserve"> </w:t>
      </w:r>
      <w:proofErr w:type="spellStart"/>
      <w:r w:rsidRPr="00B1245B">
        <w:rPr>
          <w:rFonts w:ascii="Times New Roman" w:hAnsi="Times New Roman"/>
          <w:sz w:val="24"/>
          <w:szCs w:val="24"/>
          <w:lang w:eastAsia="hu-HU"/>
        </w:rPr>
        <w:t>összeegyeztethetővé</w:t>
      </w:r>
      <w:proofErr w:type="spellEnd"/>
      <w:r w:rsidRPr="00B1245B">
        <w:rPr>
          <w:rFonts w:ascii="Times New Roman" w:hAnsi="Times New Roman"/>
          <w:sz w:val="24"/>
          <w:szCs w:val="24"/>
          <w:lang w:eastAsia="hu-HU"/>
        </w:rPr>
        <w:t xml:space="preserve"> </w:t>
      </w:r>
      <w:proofErr w:type="spellStart"/>
      <w:r w:rsidRPr="00B1245B">
        <w:rPr>
          <w:rFonts w:ascii="Times New Roman" w:hAnsi="Times New Roman"/>
          <w:sz w:val="24"/>
          <w:szCs w:val="24"/>
          <w:lang w:eastAsia="hu-HU"/>
        </w:rPr>
        <w:t>nyilvánításáról</w:t>
      </w:r>
      <w:proofErr w:type="spellEnd"/>
    </w:p>
    <w:p w:rsidR="009D6B58" w:rsidRPr="00B1245B" w:rsidRDefault="009D6B58" w:rsidP="00481EF6">
      <w:pPr>
        <w:jc w:val="both"/>
        <w:rPr>
          <w:rFonts w:ascii="Times New Roman" w:hAnsi="Times New Roman"/>
          <w:sz w:val="24"/>
          <w:szCs w:val="24"/>
          <w:lang w:val="hu-HU" w:bidi="ar-SA"/>
        </w:rPr>
      </w:pPr>
    </w:p>
    <w:p w:rsidR="009D6B58" w:rsidRPr="00B1245B" w:rsidRDefault="009D6B58" w:rsidP="00481EF6">
      <w:pPr>
        <w:jc w:val="both"/>
        <w:rPr>
          <w:rFonts w:ascii="Times New Roman" w:hAnsi="Times New Roman"/>
          <w:b/>
          <w:sz w:val="24"/>
          <w:szCs w:val="24"/>
          <w:u w:val="single"/>
          <w:lang w:val="hu-HU" w:bidi="ar-SA"/>
        </w:rPr>
      </w:pPr>
      <w:r w:rsidRPr="00B1245B">
        <w:rPr>
          <w:rFonts w:ascii="Times New Roman" w:hAnsi="Times New Roman"/>
          <w:b/>
          <w:sz w:val="24"/>
          <w:szCs w:val="24"/>
          <w:u w:val="single"/>
          <w:lang w:val="hu-HU" w:bidi="ar-SA"/>
        </w:rPr>
        <w:t>További, a megyei tervezést befolyásoló hazai</w:t>
      </w:r>
      <w:r w:rsidR="00A00B27" w:rsidRPr="00B1245B">
        <w:rPr>
          <w:rFonts w:ascii="Times New Roman" w:hAnsi="Times New Roman"/>
          <w:b/>
          <w:sz w:val="24"/>
          <w:szCs w:val="24"/>
          <w:u w:val="single"/>
          <w:lang w:val="hu-HU" w:bidi="ar-SA"/>
        </w:rPr>
        <w:t xml:space="preserve"> határozatok,</w:t>
      </w:r>
      <w:r w:rsidRPr="00B1245B">
        <w:rPr>
          <w:rFonts w:ascii="Times New Roman" w:hAnsi="Times New Roman"/>
          <w:b/>
          <w:sz w:val="24"/>
          <w:szCs w:val="24"/>
          <w:u w:val="single"/>
          <w:lang w:val="hu-HU" w:bidi="ar-SA"/>
        </w:rPr>
        <w:t xml:space="preserve"> jogszabályok</w:t>
      </w:r>
    </w:p>
    <w:p w:rsidR="000D21DB" w:rsidRPr="00B1245B" w:rsidRDefault="000D21DB" w:rsidP="000D21DB">
      <w:pPr>
        <w:spacing w:before="100" w:beforeAutospacing="1" w:after="100" w:afterAutospacing="1" w:line="240" w:lineRule="auto"/>
        <w:jc w:val="both"/>
        <w:rPr>
          <w:rStyle w:val="Kiemels2"/>
          <w:rFonts w:ascii="Times New Roman" w:hAnsi="Times New Roman"/>
          <w:b w:val="0"/>
          <w:sz w:val="24"/>
          <w:szCs w:val="24"/>
          <w:lang w:val="hu-HU"/>
        </w:rPr>
      </w:pPr>
      <w:r w:rsidRPr="00B1245B">
        <w:rPr>
          <w:rFonts w:ascii="Times New Roman" w:hAnsi="Times New Roman"/>
          <w:b/>
          <w:sz w:val="24"/>
          <w:szCs w:val="24"/>
          <w:lang w:val="hu-HU"/>
        </w:rPr>
        <w:t xml:space="preserve">37/2010. (II. 26.) Korm. rendelet a </w:t>
      </w:r>
      <w:r w:rsidRPr="00B1245B">
        <w:rPr>
          <w:rStyle w:val="Kiemels2"/>
          <w:rFonts w:ascii="Times New Roman" w:hAnsi="Times New Roman"/>
          <w:sz w:val="24"/>
          <w:szCs w:val="24"/>
          <w:lang w:val="hu-HU"/>
        </w:rPr>
        <w:t>területi monitoring rendszerről</w:t>
      </w:r>
    </w:p>
    <w:p w:rsidR="000D21DB" w:rsidRPr="00B1245B" w:rsidRDefault="000D21DB" w:rsidP="000D21DB">
      <w:pPr>
        <w:pStyle w:val="NormlWeb"/>
        <w:jc w:val="both"/>
      </w:pPr>
      <w:r w:rsidRPr="00B1245B">
        <w:rPr>
          <w:b/>
          <w:bCs/>
        </w:rPr>
        <w:t>2. §</w:t>
      </w:r>
      <w:r w:rsidRPr="00B1245B">
        <w:t xml:space="preserve"> A területi monitoring rendszer célja, hogy</w:t>
      </w:r>
    </w:p>
    <w:p w:rsidR="000D21DB" w:rsidRPr="00B1245B" w:rsidRDefault="000D21DB" w:rsidP="000D21DB">
      <w:pPr>
        <w:pStyle w:val="NormlWeb"/>
        <w:jc w:val="both"/>
      </w:pPr>
      <w:proofErr w:type="gramStart"/>
      <w:r w:rsidRPr="00B1245B">
        <w:rPr>
          <w:i/>
          <w:iCs/>
        </w:rPr>
        <w:t>a</w:t>
      </w:r>
      <w:proofErr w:type="gramEnd"/>
      <w:r w:rsidRPr="00B1245B">
        <w:rPr>
          <w:i/>
          <w:iCs/>
        </w:rPr>
        <w:t>)</w:t>
      </w:r>
      <w:r w:rsidRPr="00B1245B">
        <w:t xml:space="preserve"> hiteles, megbízható, összehasonlítható, ellenőrizhető, a tervezésbe és a döntéshozatalba visszacsatolható információt szolgáltasson</w:t>
      </w:r>
    </w:p>
    <w:p w:rsidR="000D21DB" w:rsidRPr="00B1245B" w:rsidRDefault="000D21DB" w:rsidP="000D21DB">
      <w:pPr>
        <w:pStyle w:val="NormlWeb"/>
        <w:jc w:val="both"/>
      </w:pPr>
      <w:proofErr w:type="spellStart"/>
      <w:r w:rsidRPr="00B1245B">
        <w:rPr>
          <w:i/>
          <w:iCs/>
        </w:rPr>
        <w:t>aa</w:t>
      </w:r>
      <w:proofErr w:type="spellEnd"/>
      <w:r w:rsidRPr="00B1245B">
        <w:rPr>
          <w:i/>
          <w:iCs/>
        </w:rPr>
        <w:t>)</w:t>
      </w:r>
      <w:r w:rsidRPr="00B1245B">
        <w:t xml:space="preserve"> a területi folyamatok alakulásáról,</w:t>
      </w:r>
    </w:p>
    <w:p w:rsidR="000D21DB" w:rsidRPr="00B1245B" w:rsidRDefault="000D21DB" w:rsidP="000D21DB">
      <w:pPr>
        <w:pStyle w:val="NormlWeb"/>
        <w:jc w:val="both"/>
      </w:pPr>
      <w:proofErr w:type="gramStart"/>
      <w:r w:rsidRPr="00B1245B">
        <w:rPr>
          <w:i/>
          <w:iCs/>
        </w:rPr>
        <w:t>ab</w:t>
      </w:r>
      <w:proofErr w:type="gramEnd"/>
      <w:r w:rsidRPr="00B1245B">
        <w:rPr>
          <w:i/>
          <w:iCs/>
        </w:rPr>
        <w:t>)</w:t>
      </w:r>
      <w:r w:rsidRPr="00B1245B">
        <w:t xml:space="preserve"> az ország és régiói európai térbe való integrációjáról,</w:t>
      </w:r>
    </w:p>
    <w:p w:rsidR="000D21DB" w:rsidRPr="00B1245B" w:rsidRDefault="000D21DB" w:rsidP="000D21DB">
      <w:pPr>
        <w:pStyle w:val="NormlWeb"/>
        <w:jc w:val="both"/>
      </w:pPr>
      <w:proofErr w:type="spellStart"/>
      <w:r w:rsidRPr="00B1245B">
        <w:rPr>
          <w:i/>
          <w:iCs/>
        </w:rPr>
        <w:t>ac</w:t>
      </w:r>
      <w:proofErr w:type="spellEnd"/>
      <w:r w:rsidRPr="00B1245B">
        <w:rPr>
          <w:i/>
          <w:iCs/>
        </w:rPr>
        <w:t>)</w:t>
      </w:r>
      <w:r w:rsidRPr="00B1245B">
        <w:t xml:space="preserve"> a területfejlesztési politika érvényesítésének hatásairól,</w:t>
      </w:r>
    </w:p>
    <w:p w:rsidR="000D21DB" w:rsidRPr="00B1245B" w:rsidRDefault="000D21DB" w:rsidP="000D21DB">
      <w:pPr>
        <w:pStyle w:val="NormlWeb"/>
        <w:jc w:val="both"/>
      </w:pPr>
      <w:proofErr w:type="gramStart"/>
      <w:r w:rsidRPr="00B1245B">
        <w:rPr>
          <w:i/>
          <w:iCs/>
        </w:rPr>
        <w:t>ad</w:t>
      </w:r>
      <w:proofErr w:type="gramEnd"/>
      <w:r w:rsidRPr="00B1245B">
        <w:rPr>
          <w:i/>
          <w:iCs/>
        </w:rPr>
        <w:t>)</w:t>
      </w:r>
      <w:r w:rsidRPr="00B1245B">
        <w:t xml:space="preserve"> a területrendezési tervek érvényesítésének hatásairól,</w:t>
      </w:r>
    </w:p>
    <w:p w:rsidR="000D21DB" w:rsidRPr="00B1245B" w:rsidRDefault="000D21DB" w:rsidP="000D21DB">
      <w:pPr>
        <w:pStyle w:val="NormlWeb"/>
        <w:jc w:val="both"/>
      </w:pPr>
      <w:proofErr w:type="spellStart"/>
      <w:r w:rsidRPr="00B1245B">
        <w:rPr>
          <w:i/>
          <w:iCs/>
        </w:rPr>
        <w:t>ae</w:t>
      </w:r>
      <w:proofErr w:type="spellEnd"/>
      <w:r w:rsidRPr="00B1245B">
        <w:rPr>
          <w:i/>
          <w:iCs/>
        </w:rPr>
        <w:t>)</w:t>
      </w:r>
      <w:r w:rsidRPr="00B1245B">
        <w:t xml:space="preserve"> a térségek fejlődését befolyásoló fejlesztési koncepciókról, programokról,</w:t>
      </w:r>
    </w:p>
    <w:p w:rsidR="000D21DB" w:rsidRPr="00B1245B" w:rsidRDefault="000D21DB" w:rsidP="000D21DB">
      <w:pPr>
        <w:pStyle w:val="NormlWeb"/>
        <w:jc w:val="both"/>
      </w:pPr>
      <w:proofErr w:type="spellStart"/>
      <w:r w:rsidRPr="00B1245B">
        <w:rPr>
          <w:i/>
          <w:iCs/>
        </w:rPr>
        <w:t>af</w:t>
      </w:r>
      <w:proofErr w:type="spellEnd"/>
      <w:r w:rsidRPr="00B1245B">
        <w:rPr>
          <w:i/>
          <w:iCs/>
        </w:rPr>
        <w:t>)</w:t>
      </w:r>
      <w:r w:rsidRPr="00B1245B">
        <w:t xml:space="preserve"> a térségekre jutó támogatásokról, azok eredményeiről és hatásairól,</w:t>
      </w:r>
    </w:p>
    <w:p w:rsidR="000D21DB" w:rsidRPr="00B1245B" w:rsidRDefault="000D21DB" w:rsidP="000D21DB">
      <w:pPr>
        <w:pStyle w:val="NormlWeb"/>
        <w:jc w:val="both"/>
      </w:pPr>
      <w:proofErr w:type="spellStart"/>
      <w:r w:rsidRPr="00B1245B">
        <w:rPr>
          <w:i/>
          <w:iCs/>
        </w:rPr>
        <w:t>ag</w:t>
      </w:r>
      <w:proofErr w:type="spellEnd"/>
      <w:r w:rsidRPr="00B1245B">
        <w:rPr>
          <w:i/>
          <w:iCs/>
        </w:rPr>
        <w:t>)</w:t>
      </w:r>
      <w:r w:rsidRPr="00B1245B">
        <w:t xml:space="preserve"> a területfejlesztés és területrendezés intézmény- és eszközrendszeréről;</w:t>
      </w:r>
    </w:p>
    <w:p w:rsidR="000D21DB" w:rsidRPr="00B1245B" w:rsidRDefault="000D21DB" w:rsidP="000D21DB">
      <w:pPr>
        <w:pStyle w:val="NormlWeb"/>
        <w:jc w:val="both"/>
      </w:pPr>
      <w:r w:rsidRPr="00B1245B">
        <w:rPr>
          <w:i/>
          <w:iCs/>
        </w:rPr>
        <w:t>b)</w:t>
      </w:r>
      <w:r w:rsidRPr="00B1245B">
        <w:t xml:space="preserve"> elősegítse</w:t>
      </w:r>
    </w:p>
    <w:p w:rsidR="000D21DB" w:rsidRPr="00B1245B" w:rsidRDefault="000D21DB" w:rsidP="000D21DB">
      <w:pPr>
        <w:pStyle w:val="NormlWeb"/>
        <w:jc w:val="both"/>
      </w:pPr>
      <w:proofErr w:type="spellStart"/>
      <w:r w:rsidRPr="00B1245B">
        <w:rPr>
          <w:i/>
          <w:iCs/>
        </w:rPr>
        <w:t>ba</w:t>
      </w:r>
      <w:proofErr w:type="spellEnd"/>
      <w:r w:rsidRPr="00B1245B">
        <w:rPr>
          <w:i/>
          <w:iCs/>
        </w:rPr>
        <w:t>)</w:t>
      </w:r>
      <w:r w:rsidRPr="00B1245B">
        <w:t xml:space="preserve"> a területfejlesztési politika céljainak érvényesítését, elemzését, értékelését, felülvizsgálatát,</w:t>
      </w:r>
    </w:p>
    <w:p w:rsidR="000D21DB" w:rsidRPr="00B1245B" w:rsidRDefault="000D21DB" w:rsidP="000D21DB">
      <w:pPr>
        <w:pStyle w:val="NormlWeb"/>
        <w:jc w:val="both"/>
      </w:pPr>
      <w:proofErr w:type="spellStart"/>
      <w:r w:rsidRPr="00B1245B">
        <w:rPr>
          <w:i/>
          <w:iCs/>
        </w:rPr>
        <w:t>bb</w:t>
      </w:r>
      <w:proofErr w:type="spellEnd"/>
      <w:r w:rsidRPr="00B1245B">
        <w:rPr>
          <w:i/>
          <w:iCs/>
        </w:rPr>
        <w:t>)</w:t>
      </w:r>
      <w:r w:rsidRPr="00B1245B">
        <w:t xml:space="preserve"> az ágazati és ágazatközi koncepciók és programok területi szempontok alapján történő kidolgozását,</w:t>
      </w:r>
    </w:p>
    <w:p w:rsidR="000D21DB" w:rsidRPr="00B1245B" w:rsidRDefault="000D21DB" w:rsidP="000D21DB">
      <w:pPr>
        <w:pStyle w:val="NormlWeb"/>
        <w:jc w:val="both"/>
      </w:pPr>
      <w:proofErr w:type="spellStart"/>
      <w:r w:rsidRPr="00B1245B">
        <w:rPr>
          <w:i/>
          <w:iCs/>
        </w:rPr>
        <w:t>bc</w:t>
      </w:r>
      <w:proofErr w:type="spellEnd"/>
      <w:r w:rsidRPr="00B1245B">
        <w:rPr>
          <w:i/>
          <w:iCs/>
        </w:rPr>
        <w:t>)</w:t>
      </w:r>
      <w:r w:rsidRPr="00B1245B">
        <w:t xml:space="preserve"> a területfejlesztés és területrendezés intézmény- és eszközrendszerének működését, korszerűsítését,</w:t>
      </w:r>
    </w:p>
    <w:p w:rsidR="000D21DB" w:rsidRPr="00B1245B" w:rsidRDefault="000D21DB" w:rsidP="000D21DB">
      <w:pPr>
        <w:pStyle w:val="NormlWeb"/>
        <w:jc w:val="both"/>
      </w:pPr>
      <w:proofErr w:type="spellStart"/>
      <w:r w:rsidRPr="00B1245B">
        <w:rPr>
          <w:i/>
          <w:iCs/>
        </w:rPr>
        <w:t>bd</w:t>
      </w:r>
      <w:proofErr w:type="spellEnd"/>
      <w:r w:rsidRPr="00B1245B">
        <w:rPr>
          <w:i/>
          <w:iCs/>
        </w:rPr>
        <w:t>)</w:t>
      </w:r>
      <w:r w:rsidRPr="00B1245B">
        <w:t xml:space="preserve"> a területfejlesztési koncepciók és területrendezési tervek érvényesítését, valamint a területfejlesztési programok végrehajtását;</w:t>
      </w:r>
    </w:p>
    <w:p w:rsidR="000D21DB" w:rsidRPr="00B1245B" w:rsidRDefault="000D21DB" w:rsidP="000D21DB">
      <w:pPr>
        <w:pStyle w:val="NormlWeb"/>
        <w:jc w:val="both"/>
      </w:pPr>
      <w:r w:rsidRPr="00B1245B">
        <w:rPr>
          <w:i/>
          <w:iCs/>
        </w:rPr>
        <w:t>c)</w:t>
      </w:r>
      <w:r w:rsidRPr="00B1245B">
        <w:t xml:space="preserve"> erősítse a fejlesztéspolitika területi kohézióhoz és térségi versenyképességhez való hozzájárulását;</w:t>
      </w:r>
    </w:p>
    <w:p w:rsidR="000D21DB" w:rsidRPr="00B1245B" w:rsidRDefault="000D21DB" w:rsidP="000D21DB">
      <w:pPr>
        <w:pStyle w:val="NormlWeb"/>
        <w:jc w:val="both"/>
      </w:pPr>
      <w:r w:rsidRPr="00B1245B">
        <w:rPr>
          <w:i/>
          <w:iCs/>
        </w:rPr>
        <w:t>d)</w:t>
      </w:r>
      <w:r w:rsidRPr="00B1245B">
        <w:t xml:space="preserve"> folyamatosan, közérthetően és hitelt érdemlően tájékoztassa a nyilvánosságot.</w:t>
      </w:r>
    </w:p>
    <w:p w:rsidR="000D21DB" w:rsidRPr="00B1245B" w:rsidRDefault="000D21DB" w:rsidP="000D21DB">
      <w:pPr>
        <w:pStyle w:val="uj"/>
        <w:spacing w:before="160" w:beforeAutospacing="0" w:after="160" w:afterAutospacing="0"/>
        <w:jc w:val="both"/>
      </w:pPr>
      <w:r w:rsidRPr="00B1245B">
        <w:rPr>
          <w:b/>
          <w:bCs/>
        </w:rPr>
        <w:t>5.</w:t>
      </w:r>
      <w:r w:rsidRPr="00B1245B">
        <w:rPr>
          <w:b/>
          <w:bCs/>
          <w:vertAlign w:val="superscript"/>
        </w:rPr>
        <w:t xml:space="preserve"> </w:t>
      </w:r>
      <w:r w:rsidRPr="00B1245B">
        <w:rPr>
          <w:b/>
          <w:bCs/>
        </w:rPr>
        <w:t>Megyei szintű területi monitoring feladatok</w:t>
      </w:r>
    </w:p>
    <w:p w:rsidR="000D21DB" w:rsidRPr="00B1245B" w:rsidRDefault="000D21DB" w:rsidP="000D21DB">
      <w:pPr>
        <w:pStyle w:val="uj"/>
        <w:jc w:val="both"/>
      </w:pPr>
      <w:r w:rsidRPr="00B1245B">
        <w:rPr>
          <w:b/>
          <w:bCs/>
        </w:rPr>
        <w:t>7. §</w:t>
      </w:r>
      <w:r w:rsidRPr="00B1245B">
        <w:t xml:space="preserve"> A megyei területi folyamatok alakulásának, a megyei területfejlesztési koncepció és program megvalósulása és hasznosulása, valamint a megyei területrendezési terv érvényesülésének elősegítése érdekében a megyei önkormányzat</w:t>
      </w:r>
    </w:p>
    <w:p w:rsidR="000D21DB" w:rsidRPr="00B1245B" w:rsidRDefault="000D21DB" w:rsidP="000D21DB">
      <w:pPr>
        <w:pStyle w:val="uj"/>
        <w:jc w:val="both"/>
      </w:pPr>
      <w:proofErr w:type="gramStart"/>
      <w:r w:rsidRPr="00B1245B">
        <w:rPr>
          <w:i/>
          <w:iCs/>
        </w:rPr>
        <w:t>a</w:t>
      </w:r>
      <w:proofErr w:type="gramEnd"/>
      <w:r w:rsidRPr="00B1245B">
        <w:rPr>
          <w:i/>
          <w:iCs/>
        </w:rPr>
        <w:t>)</w:t>
      </w:r>
      <w:r w:rsidRPr="00B1245B">
        <w:t xml:space="preserve"> elemzi és értékeli a megyei szintű területi monitoring rendszer működését,</w:t>
      </w:r>
    </w:p>
    <w:p w:rsidR="000D21DB" w:rsidRPr="00B1245B" w:rsidRDefault="000D21DB" w:rsidP="000D21DB">
      <w:pPr>
        <w:pStyle w:val="uj"/>
        <w:jc w:val="both"/>
      </w:pPr>
      <w:r w:rsidRPr="00B1245B">
        <w:rPr>
          <w:i/>
          <w:iCs/>
        </w:rPr>
        <w:t>b)</w:t>
      </w:r>
      <w:r w:rsidRPr="00B1245B">
        <w:t xml:space="preserve"> elemzi és véleményezi a megyei éves elemző értékelési jelentést,</w:t>
      </w:r>
    </w:p>
    <w:p w:rsidR="000D21DB" w:rsidRPr="00B1245B" w:rsidRDefault="000D21DB" w:rsidP="000D21DB">
      <w:pPr>
        <w:pStyle w:val="uj"/>
        <w:jc w:val="both"/>
      </w:pPr>
      <w:r w:rsidRPr="00B1245B">
        <w:rPr>
          <w:i/>
          <w:iCs/>
        </w:rPr>
        <w:t>c)</w:t>
      </w:r>
      <w:r w:rsidRPr="00B1245B">
        <w:t xml:space="preserve"> elemzi és véleményezi a megyei területi folyamatok alakulását bemutató több éves jelentést,</w:t>
      </w:r>
    </w:p>
    <w:p w:rsidR="000D21DB" w:rsidRPr="00B1245B" w:rsidRDefault="000D21DB" w:rsidP="000D21DB">
      <w:pPr>
        <w:pStyle w:val="uj"/>
        <w:jc w:val="both"/>
      </w:pPr>
      <w:r w:rsidRPr="00B1245B">
        <w:rPr>
          <w:i/>
          <w:iCs/>
        </w:rPr>
        <w:t>d)</w:t>
      </w:r>
      <w:r w:rsidRPr="00B1245B">
        <w:t xml:space="preserve"> évente tájékoztatást ad a területfejlesztés stratégiai tervezéséért, valamint a területfejlesztésért felelős miniszter, valamint a területileg érintett kiemelt térségi fejlesztési tanács részére a megyei területi monitoring rendszer működéséről és a megyei értékelési jelentésekről a tárgyévet követő március 31-ig,</w:t>
      </w:r>
    </w:p>
    <w:p w:rsidR="000D21DB" w:rsidRPr="00B1245B" w:rsidRDefault="000D21DB" w:rsidP="000D21DB">
      <w:pPr>
        <w:pStyle w:val="uj"/>
        <w:jc w:val="both"/>
      </w:pPr>
      <w:proofErr w:type="gramStart"/>
      <w:r w:rsidRPr="00B1245B">
        <w:rPr>
          <w:i/>
          <w:iCs/>
        </w:rPr>
        <w:t>e</w:t>
      </w:r>
      <w:proofErr w:type="gramEnd"/>
      <w:r w:rsidRPr="00B1245B">
        <w:rPr>
          <w:i/>
          <w:iCs/>
        </w:rPr>
        <w:t>)</w:t>
      </w:r>
      <w:r w:rsidRPr="00B1245B">
        <w:t xml:space="preserve"> elvégzi a megyei területfejlesztési koncepció felülvizsgálatát, valamint a felülvizsgálat alapján a koncepció módosítását,</w:t>
      </w:r>
    </w:p>
    <w:p w:rsidR="000D21DB" w:rsidRPr="00B1245B" w:rsidRDefault="000D21DB" w:rsidP="000D21DB">
      <w:pPr>
        <w:pStyle w:val="uj"/>
        <w:jc w:val="both"/>
      </w:pPr>
      <w:proofErr w:type="gramStart"/>
      <w:r w:rsidRPr="00B1245B">
        <w:rPr>
          <w:i/>
          <w:iCs/>
        </w:rPr>
        <w:t>f</w:t>
      </w:r>
      <w:proofErr w:type="gramEnd"/>
      <w:r w:rsidRPr="00B1245B">
        <w:rPr>
          <w:i/>
          <w:iCs/>
        </w:rPr>
        <w:t>)</w:t>
      </w:r>
      <w:r w:rsidRPr="00B1245B">
        <w:t xml:space="preserve"> elvégzi a megyei területfejlesztési program előzetes, közbülső és utólagos értékelését, valamint az előzetes és közbülső értékelés alapján a felülvizsgálatát,</w:t>
      </w:r>
    </w:p>
    <w:p w:rsidR="000D21DB" w:rsidRPr="00B1245B" w:rsidRDefault="000D21DB" w:rsidP="000D21DB">
      <w:pPr>
        <w:pStyle w:val="uj"/>
        <w:jc w:val="both"/>
      </w:pPr>
      <w:proofErr w:type="gramStart"/>
      <w:r w:rsidRPr="00B1245B">
        <w:rPr>
          <w:i/>
          <w:iCs/>
        </w:rPr>
        <w:t>g</w:t>
      </w:r>
      <w:proofErr w:type="gramEnd"/>
      <w:r w:rsidRPr="00B1245B">
        <w:rPr>
          <w:i/>
          <w:iCs/>
        </w:rPr>
        <w:t>)</w:t>
      </w:r>
      <w:r w:rsidRPr="00B1245B">
        <w:t xml:space="preserve"> elvégzi a megyei területrendezési terv érvényesítésének értékelését és erről évente tájékoztatást ad a területrendezésért felelős miniszter részére a tárgyévet követő március 31-ig.</w:t>
      </w:r>
    </w:p>
    <w:p w:rsidR="000D21DB" w:rsidRPr="00B1245B" w:rsidRDefault="000D21DB" w:rsidP="000D21DB">
      <w:pPr>
        <w:pStyle w:val="uj"/>
        <w:spacing w:before="160" w:beforeAutospacing="0" w:after="160" w:afterAutospacing="0"/>
        <w:jc w:val="both"/>
      </w:pPr>
      <w:r w:rsidRPr="00B1245B">
        <w:rPr>
          <w:b/>
          <w:bCs/>
        </w:rPr>
        <w:t>6.</w:t>
      </w:r>
      <w:r w:rsidRPr="00B1245B">
        <w:rPr>
          <w:b/>
          <w:bCs/>
          <w:vertAlign w:val="superscript"/>
        </w:rPr>
        <w:t xml:space="preserve"> </w:t>
      </w:r>
      <w:r w:rsidRPr="00B1245B">
        <w:rPr>
          <w:b/>
          <w:bCs/>
        </w:rPr>
        <w:t xml:space="preserve">A területi </w:t>
      </w:r>
      <w:proofErr w:type="spellStart"/>
      <w:r w:rsidRPr="00B1245B">
        <w:rPr>
          <w:b/>
          <w:bCs/>
        </w:rPr>
        <w:t>monitoringra</w:t>
      </w:r>
      <w:proofErr w:type="spellEnd"/>
      <w:r w:rsidRPr="00B1245B">
        <w:rPr>
          <w:b/>
          <w:bCs/>
        </w:rPr>
        <w:t xml:space="preserve"> vonatkozó közös szabályok</w:t>
      </w:r>
    </w:p>
    <w:p w:rsidR="000D21DB" w:rsidRPr="00B1245B" w:rsidRDefault="000D21DB" w:rsidP="000D21DB">
      <w:pPr>
        <w:pStyle w:val="NormlWeb"/>
        <w:jc w:val="both"/>
      </w:pPr>
      <w:r w:rsidRPr="00B1245B">
        <w:rPr>
          <w:b/>
          <w:bCs/>
        </w:rPr>
        <w:t>8. §</w:t>
      </w:r>
      <w:r w:rsidRPr="00B1245B">
        <w:t xml:space="preserve"> (1) A területi monitoring rendszer működéséhez szükséges adatokat az Országos Területfejlesztési és Területrendezési Információs Rendszer (</w:t>
      </w:r>
      <w:proofErr w:type="spellStart"/>
      <w:r w:rsidRPr="00B1245B">
        <w:t>TeIR</w:t>
      </w:r>
      <w:proofErr w:type="spellEnd"/>
      <w:r w:rsidRPr="00B1245B">
        <w:t>) biztosítja.</w:t>
      </w:r>
    </w:p>
    <w:p w:rsidR="000D21DB" w:rsidRPr="00B1245B" w:rsidRDefault="000D21DB" w:rsidP="000D21DB">
      <w:pPr>
        <w:pStyle w:val="NormlWeb"/>
        <w:jc w:val="both"/>
      </w:pPr>
      <w:r w:rsidRPr="00B1245B">
        <w:t>(2) A területi monitoring rendszer működéséhez szükséges adatokat és információkat, valamint az arra épülő nyomon követés, mérés, elemzés, értékelés módszertani eszközkészletét, rendszer- és folyamatmodelljét, szakértői és információtechnológiai rendszerét (leíró módszertant) a Területi Megfigyelő és Értékelő Rendszer (T-MER) tartalmazza.</w:t>
      </w:r>
    </w:p>
    <w:p w:rsidR="000D21DB" w:rsidRPr="00B1245B" w:rsidRDefault="000D21DB" w:rsidP="000D21DB">
      <w:pPr>
        <w:pStyle w:val="NormlWeb"/>
        <w:jc w:val="both"/>
        <w:rPr>
          <w:rStyle w:val="Kiemels2"/>
          <w:b w:val="0"/>
          <w:bCs w:val="0"/>
        </w:rPr>
      </w:pPr>
      <w:r w:rsidRPr="00B1245B">
        <w:t>(3) A területfejlesztéssel kapcsolatos jelentések alapjául szolgáló elemzések és értékelések előkészítő dokumentumait kérésre hozzáférhetővé kell tenni.</w:t>
      </w:r>
    </w:p>
    <w:p w:rsidR="000D21DB" w:rsidRPr="00B1245B" w:rsidRDefault="000D21DB" w:rsidP="00481EF6">
      <w:pPr>
        <w:spacing w:before="100" w:beforeAutospacing="1" w:after="100" w:afterAutospacing="1" w:line="240" w:lineRule="auto"/>
        <w:jc w:val="both"/>
        <w:rPr>
          <w:rFonts w:ascii="Times New Roman" w:hAnsi="Times New Roman"/>
          <w:b/>
          <w:sz w:val="24"/>
          <w:szCs w:val="24"/>
          <w:lang w:eastAsia="hu-HU"/>
        </w:rPr>
      </w:pPr>
    </w:p>
    <w:p w:rsidR="000D21DB" w:rsidRPr="00B1245B" w:rsidRDefault="000D21DB" w:rsidP="00481EF6">
      <w:pPr>
        <w:spacing w:before="100" w:beforeAutospacing="1" w:after="100" w:afterAutospacing="1" w:line="240" w:lineRule="auto"/>
        <w:jc w:val="both"/>
        <w:rPr>
          <w:rFonts w:ascii="Times New Roman" w:hAnsi="Times New Roman"/>
          <w:b/>
          <w:sz w:val="24"/>
          <w:szCs w:val="24"/>
          <w:lang w:eastAsia="hu-HU"/>
        </w:rPr>
      </w:pPr>
    </w:p>
    <w:p w:rsidR="007E1488" w:rsidRPr="00B1245B" w:rsidRDefault="007E1488" w:rsidP="00481EF6">
      <w:pPr>
        <w:spacing w:before="100" w:beforeAutospacing="1" w:after="100" w:afterAutospacing="1" w:line="240" w:lineRule="auto"/>
        <w:jc w:val="both"/>
        <w:rPr>
          <w:rFonts w:ascii="Times New Roman" w:hAnsi="Times New Roman"/>
          <w:b/>
          <w:sz w:val="24"/>
          <w:szCs w:val="24"/>
          <w:lang w:eastAsia="hu-HU"/>
        </w:rPr>
      </w:pPr>
    </w:p>
    <w:p w:rsidR="007E1488" w:rsidRPr="00B1245B" w:rsidRDefault="007E1488" w:rsidP="007E1488">
      <w:pPr>
        <w:spacing w:before="100" w:beforeAutospacing="1" w:after="100" w:afterAutospacing="1" w:line="240" w:lineRule="auto"/>
        <w:jc w:val="both"/>
        <w:rPr>
          <w:rFonts w:ascii="Times New Roman" w:hAnsi="Times New Roman"/>
          <w:b/>
          <w:sz w:val="24"/>
          <w:szCs w:val="24"/>
          <w:lang w:val="hu-HU" w:eastAsia="hu-HU"/>
        </w:rPr>
      </w:pPr>
      <w:r w:rsidRPr="00B1245B">
        <w:rPr>
          <w:rFonts w:ascii="Times New Roman" w:hAnsi="Times New Roman"/>
          <w:b/>
          <w:sz w:val="24"/>
          <w:szCs w:val="24"/>
          <w:lang w:val="hu-HU"/>
        </w:rPr>
        <w:t xml:space="preserve">314/2012. (XI. 8.) Korm. rendelet </w:t>
      </w:r>
      <w:r w:rsidRPr="00B1245B">
        <w:rPr>
          <w:rFonts w:ascii="Times New Roman" w:hAnsi="Times New Roman"/>
          <w:sz w:val="24"/>
          <w:szCs w:val="24"/>
          <w:lang w:val="hu-HU"/>
        </w:rPr>
        <w:t xml:space="preserve">a </w:t>
      </w:r>
      <w:r w:rsidRPr="00B1245B">
        <w:rPr>
          <w:rStyle w:val="Kiemels2"/>
          <w:rFonts w:ascii="Times New Roman" w:hAnsi="Times New Roman"/>
          <w:sz w:val="24"/>
          <w:szCs w:val="24"/>
          <w:lang w:val="hu-HU"/>
        </w:rPr>
        <w:t>településfejlesztési koncepcióról, az integrált településfejlesztési stratégiáról és a településrendezési eszközökről</w:t>
      </w:r>
      <w:r w:rsidRPr="00B1245B">
        <w:rPr>
          <w:rFonts w:ascii="Times New Roman" w:hAnsi="Times New Roman"/>
          <w:b/>
          <w:sz w:val="24"/>
          <w:szCs w:val="24"/>
          <w:lang w:val="hu-HU"/>
        </w:rPr>
        <w:t xml:space="preserve">, valamint egyes településrendezési </w:t>
      </w:r>
      <w:r w:rsidRPr="00B1245B">
        <w:rPr>
          <w:rStyle w:val="Kiemels2"/>
          <w:rFonts w:ascii="Times New Roman" w:hAnsi="Times New Roman"/>
          <w:sz w:val="24"/>
          <w:szCs w:val="24"/>
          <w:lang w:val="hu-HU"/>
        </w:rPr>
        <w:t>sajátos jogintézményekről</w:t>
      </w:r>
    </w:p>
    <w:p w:rsidR="007E1488" w:rsidRPr="00B1245B" w:rsidRDefault="007E1488" w:rsidP="007E1488">
      <w:pPr>
        <w:pStyle w:val="NormlWeb"/>
        <w:spacing w:before="160" w:beforeAutospacing="0" w:after="160" w:afterAutospacing="0"/>
        <w:jc w:val="both"/>
      </w:pPr>
      <w:r w:rsidRPr="00B1245B">
        <w:rPr>
          <w:b/>
          <w:bCs/>
        </w:rPr>
        <w:t xml:space="preserve"> A településfejlesztés és a településrendezés összefüggései</w:t>
      </w:r>
    </w:p>
    <w:p w:rsidR="007E1488" w:rsidRPr="00B1245B" w:rsidRDefault="007E1488" w:rsidP="007E1488">
      <w:pPr>
        <w:pStyle w:val="NormlWeb"/>
        <w:jc w:val="both"/>
      </w:pPr>
      <w:r w:rsidRPr="00B1245B">
        <w:rPr>
          <w:b/>
          <w:bCs/>
        </w:rPr>
        <w:t>3. §</w:t>
      </w:r>
      <w:r w:rsidRPr="00B1245B">
        <w:t xml:space="preserve"> (1) Koncepciót, stratégiát és településrendezési eszközöket kell készíteni, ha</w:t>
      </w:r>
    </w:p>
    <w:p w:rsidR="007E1488" w:rsidRPr="00B1245B" w:rsidRDefault="007E1488" w:rsidP="007E1488">
      <w:pPr>
        <w:pStyle w:val="NormlWeb"/>
        <w:jc w:val="both"/>
      </w:pPr>
      <w:proofErr w:type="gramStart"/>
      <w:r w:rsidRPr="00B1245B">
        <w:rPr>
          <w:i/>
          <w:iCs/>
        </w:rPr>
        <w:t>a</w:t>
      </w:r>
      <w:proofErr w:type="gramEnd"/>
      <w:r w:rsidRPr="00B1245B">
        <w:rPr>
          <w:i/>
          <w:iCs/>
        </w:rPr>
        <w:t>)</w:t>
      </w:r>
      <w:r w:rsidRPr="00B1245B">
        <w:t xml:space="preserve"> jogszabály előírja, vagy</w:t>
      </w:r>
    </w:p>
    <w:p w:rsidR="007E1488" w:rsidRPr="00B1245B" w:rsidRDefault="007E1488" w:rsidP="007E1488">
      <w:pPr>
        <w:pStyle w:val="NormlWeb"/>
        <w:jc w:val="both"/>
      </w:pPr>
      <w:r w:rsidRPr="00B1245B">
        <w:rPr>
          <w:i/>
          <w:iCs/>
        </w:rPr>
        <w:t>b)</w:t>
      </w:r>
      <w:r w:rsidRPr="00B1245B">
        <w:t xml:space="preserve"> a települési önkormányzat (a továbbiakban: önkormányzat) a település társadalmi, gazdasági, illetve környezeti helyzetében bekövetkezett változások vagy új településfejlesztési szándék miatt indokoltnak tartja.</w:t>
      </w:r>
    </w:p>
    <w:p w:rsidR="007E1488" w:rsidRPr="00B1245B" w:rsidRDefault="007E1488" w:rsidP="007E1488">
      <w:pPr>
        <w:pStyle w:val="NormlWeb"/>
        <w:jc w:val="both"/>
      </w:pPr>
      <w:r w:rsidRPr="00B1245B">
        <w:t>(2) A koncepció, a stratégia és a településrendezési eszköz a település méretének, sajátosságainak és a településhálózatban betöltött szerepének figyelembevételével készül.</w:t>
      </w:r>
    </w:p>
    <w:p w:rsidR="007E1488" w:rsidRPr="00B1245B" w:rsidRDefault="007E1488" w:rsidP="007E1488">
      <w:pPr>
        <w:pStyle w:val="NormlWeb"/>
        <w:jc w:val="both"/>
      </w:pPr>
      <w:r w:rsidRPr="00B1245B">
        <w:t>(3) A koncepció, a stratégia és a településrendezési eszköz készítésének módját a korábbi tervekre is figyelemmel kell meghatározni.</w:t>
      </w:r>
    </w:p>
    <w:p w:rsidR="007E1488" w:rsidRPr="00B1245B" w:rsidRDefault="007E1488" w:rsidP="007E1488">
      <w:pPr>
        <w:pStyle w:val="NormlWeb"/>
        <w:jc w:val="both"/>
      </w:pPr>
      <w:r w:rsidRPr="00B1245B">
        <w:t>(4) A koncepció és a településszerkezeti terv egymással tartalmi összhangban készül.</w:t>
      </w:r>
    </w:p>
    <w:p w:rsidR="007E1488" w:rsidRPr="00B1245B" w:rsidRDefault="007E1488" w:rsidP="007E1488">
      <w:pPr>
        <w:pStyle w:val="NormlWeb"/>
        <w:jc w:val="both"/>
      </w:pPr>
      <w:r w:rsidRPr="00B1245B">
        <w:t>(5) A stratégia a koncepcióval összhangban, a településszerkezeti terv figyelembevételével kerül kidolgozásra.</w:t>
      </w:r>
    </w:p>
    <w:p w:rsidR="007E1488" w:rsidRPr="00B1245B" w:rsidRDefault="007E1488" w:rsidP="007E1488">
      <w:pPr>
        <w:pStyle w:val="NormlWeb"/>
        <w:jc w:val="both"/>
      </w:pPr>
      <w:r w:rsidRPr="00B1245B">
        <w:t>(6) A helyi építési szabályzat a településszerkezeti tervvel összhangban – a tervezett változások időbeli ütemezésének figyelembevételével – készül.</w:t>
      </w:r>
    </w:p>
    <w:p w:rsidR="007E1488" w:rsidRPr="00B1245B" w:rsidRDefault="007E1488" w:rsidP="007E1488">
      <w:pPr>
        <w:pStyle w:val="NormlWeb"/>
        <w:jc w:val="both"/>
      </w:pPr>
      <w:r w:rsidRPr="00B1245B">
        <w:t>(7)</w:t>
      </w:r>
      <w:bookmarkStart w:id="8" w:name="foot_1_place"/>
      <w:r w:rsidR="0057028F" w:rsidRPr="00B1245B">
        <w:rPr>
          <w:vertAlign w:val="superscript"/>
        </w:rPr>
        <w:fldChar w:fldCharType="begin"/>
      </w:r>
      <w:r w:rsidRPr="00B1245B">
        <w:rPr>
          <w:vertAlign w:val="superscript"/>
        </w:rPr>
        <w:instrText xml:space="preserve"> HYPERLINK "http://njt.hu/cgi_bin/njt_doc.cgi?docid=155639.260568" \l "foot1" </w:instrText>
      </w:r>
      <w:r w:rsidR="0057028F" w:rsidRPr="00B1245B">
        <w:rPr>
          <w:vertAlign w:val="superscript"/>
        </w:rPr>
        <w:fldChar w:fldCharType="separate"/>
      </w:r>
      <w:r w:rsidRPr="00B1245B">
        <w:rPr>
          <w:rStyle w:val="Hiperhivatkozs"/>
          <w:vertAlign w:val="superscript"/>
        </w:rPr>
        <w:t>1</w:t>
      </w:r>
      <w:r w:rsidR="0057028F" w:rsidRPr="00B1245B">
        <w:rPr>
          <w:vertAlign w:val="superscript"/>
        </w:rPr>
        <w:fldChar w:fldCharType="end"/>
      </w:r>
      <w:bookmarkEnd w:id="8"/>
      <w:r w:rsidRPr="00B1245B">
        <w:t xml:space="preserve"> A kerületi településfejlesztési koncepció a fővárosi településfejlesztési koncepcióval, a kerületi integrált településfejlesztési stratégia a kerületi településfejlesztési koncepcióval és a fővárosi integrált településfejlesztési stratégiával összhangban készül.</w:t>
      </w:r>
    </w:p>
    <w:p w:rsidR="007E1488" w:rsidRPr="00B1245B" w:rsidRDefault="007E1488" w:rsidP="007E1488">
      <w:pPr>
        <w:pStyle w:val="NormlWeb"/>
        <w:jc w:val="both"/>
      </w:pPr>
      <w:r w:rsidRPr="00B1245B">
        <w:t>(8) A fővárosi rendezési szabályzat a fővárosi településszerkezeti tervvel összhangban készül.</w:t>
      </w:r>
    </w:p>
    <w:p w:rsidR="007E1488" w:rsidRPr="00B1245B" w:rsidRDefault="007E1488" w:rsidP="007E1488">
      <w:pPr>
        <w:pStyle w:val="NormlWeb"/>
        <w:jc w:val="both"/>
      </w:pPr>
      <w:r w:rsidRPr="00B1245B">
        <w:t>(9) A kerületi építési szabályzat a fővárosi településszerkezeti terv és a fővárosi rendezési szabályzat alapján készül.</w:t>
      </w:r>
    </w:p>
    <w:p w:rsidR="007E1488" w:rsidRPr="00B1245B" w:rsidRDefault="007E1488" w:rsidP="007E1488">
      <w:pPr>
        <w:pStyle w:val="NormlWeb"/>
        <w:spacing w:before="160" w:beforeAutospacing="0" w:after="160" w:afterAutospacing="0"/>
        <w:jc w:val="both"/>
      </w:pPr>
      <w:r w:rsidRPr="00B1245B">
        <w:rPr>
          <w:b/>
          <w:bCs/>
        </w:rPr>
        <w:t>A településfejlesztés és a területfejlesztés, valamint a településrendezés és a területrendezés összefüggései</w:t>
      </w:r>
    </w:p>
    <w:p w:rsidR="007E1488" w:rsidRPr="00B1245B" w:rsidRDefault="007E1488" w:rsidP="007E1488">
      <w:pPr>
        <w:pStyle w:val="NormlWeb"/>
        <w:jc w:val="both"/>
      </w:pPr>
      <w:r w:rsidRPr="00B1245B">
        <w:rPr>
          <w:b/>
          <w:bCs/>
        </w:rPr>
        <w:t>4. §</w:t>
      </w:r>
      <w:r w:rsidRPr="00B1245B">
        <w:t xml:space="preserve"> (1) A koncepció és a stratégia a területfejlesztési koncepciók és programok, a szakpolitikai és területi koncepciók és programok, valamint a területrendezési tervek figyelembevételével kerülnek kidolgozásra.</w:t>
      </w:r>
    </w:p>
    <w:p w:rsidR="007E1488" w:rsidRPr="00B1245B" w:rsidRDefault="007E1488" w:rsidP="007E1488">
      <w:pPr>
        <w:pStyle w:val="NormlWeb"/>
        <w:jc w:val="both"/>
      </w:pPr>
      <w:r w:rsidRPr="00B1245B">
        <w:t>(2) A településrendezési eszközök a területrendezési tervek rendelkezéseivel összhangban készülnek.</w:t>
      </w:r>
    </w:p>
    <w:p w:rsidR="007E1488" w:rsidRPr="00B1245B" w:rsidRDefault="007E1488" w:rsidP="007E1488">
      <w:pPr>
        <w:spacing w:before="100" w:beforeAutospacing="1" w:after="100" w:afterAutospacing="1" w:line="240" w:lineRule="auto"/>
        <w:jc w:val="both"/>
        <w:rPr>
          <w:rFonts w:ascii="Times New Roman" w:hAnsi="Times New Roman"/>
          <w:sz w:val="24"/>
          <w:szCs w:val="24"/>
          <w:lang w:eastAsia="hu-HU"/>
        </w:rPr>
      </w:pPr>
    </w:p>
    <w:p w:rsidR="007E1488" w:rsidRPr="00B1245B" w:rsidRDefault="007E1488" w:rsidP="007E1488">
      <w:pPr>
        <w:spacing w:before="100" w:beforeAutospacing="1" w:after="100" w:afterAutospacing="1" w:line="240" w:lineRule="auto"/>
        <w:jc w:val="both"/>
        <w:rPr>
          <w:rFonts w:ascii="Times New Roman" w:hAnsi="Times New Roman"/>
          <w:sz w:val="24"/>
          <w:szCs w:val="24"/>
          <w:lang w:eastAsia="hu-HU"/>
        </w:rPr>
      </w:pPr>
    </w:p>
    <w:p w:rsidR="007E1488" w:rsidRPr="00B1245B" w:rsidRDefault="007E1488" w:rsidP="00481EF6">
      <w:pPr>
        <w:spacing w:before="100" w:beforeAutospacing="1" w:after="100" w:afterAutospacing="1" w:line="240" w:lineRule="auto"/>
        <w:jc w:val="both"/>
        <w:rPr>
          <w:rFonts w:ascii="Times New Roman" w:hAnsi="Times New Roman"/>
          <w:b/>
          <w:sz w:val="24"/>
          <w:szCs w:val="24"/>
          <w:lang w:eastAsia="hu-HU"/>
        </w:rPr>
      </w:pPr>
    </w:p>
    <w:p w:rsidR="00481EF6" w:rsidRPr="00B1245B" w:rsidRDefault="00481EF6" w:rsidP="00481EF6">
      <w:pPr>
        <w:spacing w:before="100" w:beforeAutospacing="1" w:after="100" w:afterAutospacing="1" w:line="240" w:lineRule="auto"/>
        <w:jc w:val="both"/>
        <w:rPr>
          <w:rFonts w:ascii="Times New Roman" w:hAnsi="Times New Roman"/>
          <w:b/>
          <w:sz w:val="24"/>
          <w:szCs w:val="24"/>
          <w:lang w:eastAsia="hu-HU"/>
        </w:rPr>
      </w:pPr>
      <w:proofErr w:type="gramStart"/>
      <w:r w:rsidRPr="00B1245B">
        <w:rPr>
          <w:rFonts w:ascii="Times New Roman" w:hAnsi="Times New Roman"/>
          <w:b/>
          <w:sz w:val="24"/>
          <w:szCs w:val="24"/>
          <w:lang w:eastAsia="hu-HU"/>
        </w:rPr>
        <w:t>1121/2013.</w:t>
      </w:r>
      <w:proofErr w:type="gramEnd"/>
      <w:r w:rsidRPr="00B1245B">
        <w:rPr>
          <w:rFonts w:ascii="Times New Roman" w:hAnsi="Times New Roman"/>
          <w:b/>
          <w:sz w:val="24"/>
          <w:szCs w:val="24"/>
          <w:lang w:eastAsia="hu-HU"/>
        </w:rPr>
        <w:t xml:space="preserve"> </w:t>
      </w:r>
      <w:proofErr w:type="gramStart"/>
      <w:r w:rsidRPr="00B1245B">
        <w:rPr>
          <w:rFonts w:ascii="Times New Roman" w:hAnsi="Times New Roman"/>
          <w:b/>
          <w:sz w:val="24"/>
          <w:szCs w:val="24"/>
          <w:lang w:eastAsia="hu-HU"/>
        </w:rPr>
        <w:t>(III. 11.)</w:t>
      </w:r>
      <w:proofErr w:type="gramEnd"/>
      <w:r w:rsidRPr="00B1245B">
        <w:rPr>
          <w:rFonts w:ascii="Times New Roman" w:hAnsi="Times New Roman"/>
          <w:b/>
          <w:sz w:val="24"/>
          <w:szCs w:val="24"/>
          <w:lang w:eastAsia="hu-HU"/>
        </w:rPr>
        <w:t xml:space="preserve"> </w:t>
      </w:r>
      <w:proofErr w:type="spellStart"/>
      <w:proofErr w:type="gramStart"/>
      <w:r w:rsidRPr="00B1245B">
        <w:rPr>
          <w:rFonts w:ascii="Times New Roman" w:hAnsi="Times New Roman"/>
          <w:b/>
          <w:sz w:val="24"/>
          <w:szCs w:val="24"/>
          <w:lang w:eastAsia="hu-HU"/>
        </w:rPr>
        <w:t>Korm</w:t>
      </w:r>
      <w:proofErr w:type="spellEnd"/>
      <w:r w:rsidRPr="00B1245B">
        <w:rPr>
          <w:rFonts w:ascii="Times New Roman" w:hAnsi="Times New Roman"/>
          <w:b/>
          <w:sz w:val="24"/>
          <w:szCs w:val="24"/>
          <w:lang w:eastAsia="hu-HU"/>
        </w:rPr>
        <w:t>.</w:t>
      </w:r>
      <w:proofErr w:type="gramEnd"/>
      <w:r w:rsidRPr="00B1245B">
        <w:rPr>
          <w:rFonts w:ascii="Times New Roman" w:hAnsi="Times New Roman"/>
          <w:b/>
          <w:sz w:val="24"/>
          <w:szCs w:val="24"/>
          <w:lang w:eastAsia="hu-HU"/>
        </w:rPr>
        <w:t xml:space="preserve"> </w:t>
      </w:r>
      <w:proofErr w:type="spellStart"/>
      <w:proofErr w:type="gramStart"/>
      <w:r w:rsidRPr="00B1245B">
        <w:rPr>
          <w:rFonts w:ascii="Times New Roman" w:hAnsi="Times New Roman"/>
          <w:b/>
          <w:sz w:val="24"/>
          <w:szCs w:val="24"/>
          <w:lang w:eastAsia="hu-HU"/>
        </w:rPr>
        <w:t>határozat</w:t>
      </w:r>
      <w:proofErr w:type="spellEnd"/>
      <w:proofErr w:type="gramEnd"/>
      <w:r w:rsidRPr="00B1245B">
        <w:rPr>
          <w:rFonts w:ascii="Times New Roman" w:hAnsi="Times New Roman"/>
          <w:b/>
          <w:sz w:val="24"/>
          <w:szCs w:val="24"/>
          <w:lang w:eastAsia="hu-HU"/>
        </w:rPr>
        <w:t xml:space="preserve"> a 2014–2020 </w:t>
      </w:r>
      <w:proofErr w:type="spellStart"/>
      <w:r w:rsidRPr="00B1245B">
        <w:rPr>
          <w:rFonts w:ascii="Times New Roman" w:hAnsi="Times New Roman"/>
          <w:b/>
          <w:sz w:val="24"/>
          <w:szCs w:val="24"/>
          <w:lang w:eastAsia="hu-HU"/>
        </w:rPr>
        <w:t>közötti</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európai</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uniós</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fejlesztési</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források</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felhasználásának</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előfeltételeiként</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meghatározott</w:t>
      </w:r>
      <w:proofErr w:type="spellEnd"/>
      <w:r w:rsidRPr="00B1245B">
        <w:rPr>
          <w:rFonts w:ascii="Times New Roman" w:hAnsi="Times New Roman"/>
          <w:b/>
          <w:sz w:val="24"/>
          <w:szCs w:val="24"/>
          <w:lang w:eastAsia="hu-HU"/>
        </w:rPr>
        <w:t xml:space="preserve"> ex-ante </w:t>
      </w:r>
      <w:proofErr w:type="spellStart"/>
      <w:r w:rsidRPr="00B1245B">
        <w:rPr>
          <w:rFonts w:ascii="Times New Roman" w:hAnsi="Times New Roman"/>
          <w:b/>
          <w:sz w:val="24"/>
          <w:szCs w:val="24"/>
          <w:lang w:eastAsia="hu-HU"/>
        </w:rPr>
        <w:t>kondicionalitások</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teljesítésével</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összefüggő</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feladatokról</w:t>
      </w:r>
      <w:proofErr w:type="spellEnd"/>
    </w:p>
    <w:p w:rsidR="00481EF6" w:rsidRPr="00B1245B" w:rsidRDefault="00481EF6" w:rsidP="00481EF6">
      <w:pPr>
        <w:spacing w:before="100" w:beforeAutospacing="1" w:after="100" w:afterAutospacing="1" w:line="240" w:lineRule="auto"/>
        <w:jc w:val="both"/>
        <w:rPr>
          <w:rFonts w:ascii="Times New Roman" w:hAnsi="Times New Roman"/>
          <w:b/>
          <w:sz w:val="24"/>
          <w:szCs w:val="24"/>
          <w:lang w:eastAsia="hu-HU"/>
        </w:rPr>
      </w:pPr>
      <w:proofErr w:type="gramStart"/>
      <w:r w:rsidRPr="00B1245B">
        <w:rPr>
          <w:rFonts w:ascii="Times New Roman" w:hAnsi="Times New Roman"/>
          <w:b/>
          <w:sz w:val="24"/>
          <w:szCs w:val="24"/>
          <w:lang w:eastAsia="hu-HU"/>
        </w:rPr>
        <w:t>1143/2013.</w:t>
      </w:r>
      <w:proofErr w:type="gramEnd"/>
      <w:r w:rsidRPr="00B1245B">
        <w:rPr>
          <w:rFonts w:ascii="Times New Roman" w:hAnsi="Times New Roman"/>
          <w:b/>
          <w:sz w:val="24"/>
          <w:szCs w:val="24"/>
          <w:lang w:eastAsia="hu-HU"/>
        </w:rPr>
        <w:t xml:space="preserve"> </w:t>
      </w:r>
      <w:proofErr w:type="gramStart"/>
      <w:r w:rsidRPr="00B1245B">
        <w:rPr>
          <w:rFonts w:ascii="Times New Roman" w:hAnsi="Times New Roman"/>
          <w:b/>
          <w:sz w:val="24"/>
          <w:szCs w:val="24"/>
          <w:lang w:eastAsia="hu-HU"/>
        </w:rPr>
        <w:t>(III. 21.)</w:t>
      </w:r>
      <w:proofErr w:type="gramEnd"/>
      <w:r w:rsidRPr="00B1245B">
        <w:rPr>
          <w:rFonts w:ascii="Times New Roman" w:hAnsi="Times New Roman"/>
          <w:b/>
          <w:sz w:val="24"/>
          <w:szCs w:val="24"/>
          <w:lang w:eastAsia="hu-HU"/>
        </w:rPr>
        <w:t xml:space="preserve"> </w:t>
      </w:r>
      <w:proofErr w:type="spellStart"/>
      <w:proofErr w:type="gramStart"/>
      <w:r w:rsidRPr="00B1245B">
        <w:rPr>
          <w:rFonts w:ascii="Times New Roman" w:hAnsi="Times New Roman"/>
          <w:b/>
          <w:sz w:val="24"/>
          <w:szCs w:val="24"/>
          <w:lang w:eastAsia="hu-HU"/>
        </w:rPr>
        <w:t>Korm</w:t>
      </w:r>
      <w:proofErr w:type="spellEnd"/>
      <w:r w:rsidRPr="00B1245B">
        <w:rPr>
          <w:rFonts w:ascii="Times New Roman" w:hAnsi="Times New Roman"/>
          <w:b/>
          <w:sz w:val="24"/>
          <w:szCs w:val="24"/>
          <w:lang w:eastAsia="hu-HU"/>
        </w:rPr>
        <w:t>.</w:t>
      </w:r>
      <w:proofErr w:type="gramEnd"/>
      <w:r w:rsidRPr="00B1245B">
        <w:rPr>
          <w:rFonts w:ascii="Times New Roman" w:hAnsi="Times New Roman"/>
          <w:b/>
          <w:sz w:val="24"/>
          <w:szCs w:val="24"/>
          <w:lang w:eastAsia="hu-HU"/>
        </w:rPr>
        <w:t xml:space="preserve"> </w:t>
      </w:r>
      <w:proofErr w:type="spellStart"/>
      <w:proofErr w:type="gramStart"/>
      <w:r w:rsidRPr="00B1245B">
        <w:rPr>
          <w:rFonts w:ascii="Times New Roman" w:hAnsi="Times New Roman"/>
          <w:b/>
          <w:sz w:val="24"/>
          <w:szCs w:val="24"/>
          <w:lang w:eastAsia="hu-HU"/>
        </w:rPr>
        <w:t>határozat</w:t>
      </w:r>
      <w:proofErr w:type="spellEnd"/>
      <w:proofErr w:type="gramEnd"/>
      <w:r w:rsidRPr="00B1245B">
        <w:rPr>
          <w:rFonts w:ascii="Times New Roman" w:hAnsi="Times New Roman"/>
          <w:b/>
          <w:sz w:val="24"/>
          <w:szCs w:val="24"/>
          <w:lang w:eastAsia="hu-HU"/>
        </w:rPr>
        <w:t xml:space="preserve"> a 2014–2020 </w:t>
      </w:r>
      <w:proofErr w:type="spellStart"/>
      <w:r w:rsidRPr="00B1245B">
        <w:rPr>
          <w:rFonts w:ascii="Times New Roman" w:hAnsi="Times New Roman"/>
          <w:b/>
          <w:sz w:val="24"/>
          <w:szCs w:val="24"/>
          <w:lang w:eastAsia="hu-HU"/>
        </w:rPr>
        <w:t>közötti</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európai</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uniós</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fejlesztési</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források</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felhasználására</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vonatkozó</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programok</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indikatív</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prioritásairól</w:t>
      </w:r>
      <w:proofErr w:type="spellEnd"/>
    </w:p>
    <w:p w:rsidR="00481EF6" w:rsidRPr="00B1245B" w:rsidRDefault="00481EF6" w:rsidP="00481EF6">
      <w:pPr>
        <w:pStyle w:val="NormlWeb"/>
        <w:spacing w:before="160" w:beforeAutospacing="0" w:after="80" w:afterAutospacing="0"/>
        <w:jc w:val="both"/>
      </w:pPr>
      <w:r w:rsidRPr="00B1245B">
        <w:rPr>
          <w:b/>
          <w:bCs/>
        </w:rPr>
        <w:t>1217/2013. (IV. 18.) Korm. határozat</w:t>
      </w:r>
      <w:r w:rsidRPr="00B1245B">
        <w:t xml:space="preserve"> </w:t>
      </w:r>
      <w:r w:rsidRPr="00B1245B">
        <w:rPr>
          <w:b/>
          <w:bCs/>
        </w:rPr>
        <w:t>a 2014–2020 közötti európai uniós programok lebonyolítását támogató intézményrendszer koncepcionális kérdéseiről</w:t>
      </w:r>
    </w:p>
    <w:p w:rsidR="00481EF6" w:rsidRPr="00B1245B" w:rsidRDefault="00481EF6" w:rsidP="00481EF6">
      <w:pPr>
        <w:pStyle w:val="NormlWeb"/>
        <w:jc w:val="both"/>
      </w:pPr>
      <w:proofErr w:type="gramStart"/>
      <w:r w:rsidRPr="00B1245B">
        <w:t>A Kormány megerősíti korábbi döntését arról, hogy a 2014–2020 közötti európai uniós fejlesztési források felhasználását központi koordinációval működő decentralizált intézményrendszernek kell támogatnia, amelyben hatékony központi koordináció mellett érvényesül az ágazati szakpolitikákért felelős tárcák tervező és irányító szerepe, és ennek érdekében döntött arról, hogy a 2014–2020 közötti operatív programok irányító hatósági funkcióit a jelenleg működő, a 2007–2013 közötti operatív programokhoz kapcsolódó irányító hatóságoknak kell ellátniuk, oly módon, hogy az irányító hatóságok 2014. január</w:t>
      </w:r>
      <w:proofErr w:type="gramEnd"/>
      <w:r w:rsidRPr="00B1245B">
        <w:t xml:space="preserve"> 1. napjával az ágazati szakpolitikákért felelős miniszterek irányítása alá kerülnek.</w:t>
      </w:r>
    </w:p>
    <w:p w:rsidR="00481EF6" w:rsidRPr="00B1245B" w:rsidRDefault="00481EF6" w:rsidP="00481EF6">
      <w:pPr>
        <w:pStyle w:val="NormlWeb"/>
        <w:spacing w:before="160" w:beforeAutospacing="0" w:after="80" w:afterAutospacing="0"/>
        <w:jc w:val="both"/>
      </w:pPr>
      <w:r w:rsidRPr="00B1245B">
        <w:rPr>
          <w:b/>
          <w:bCs/>
        </w:rPr>
        <w:t>1545/2013. (VIII. 15.) Korm. határozat</w:t>
      </w:r>
      <w:r w:rsidRPr="00B1245B">
        <w:t xml:space="preserve"> </w:t>
      </w:r>
      <w:r w:rsidRPr="00B1245B">
        <w:rPr>
          <w:b/>
          <w:bCs/>
        </w:rPr>
        <w:t>az európai uniós programok lebonyolítását támogató intézményrendszer felállításának módjáról</w:t>
      </w:r>
    </w:p>
    <w:p w:rsidR="00481EF6" w:rsidRPr="00B1245B" w:rsidRDefault="00481EF6" w:rsidP="00481EF6">
      <w:pPr>
        <w:pStyle w:val="NormlWeb"/>
        <w:jc w:val="both"/>
      </w:pPr>
      <w:r w:rsidRPr="00B1245B">
        <w:t>A Kormány döntött arról, hogy a Nemzeti Fejlesztési Ügynökségben a 2007–2013-as irányító hatósági funkciókat ellátó egyes szervezeti egységek keretein belül Tervezési Támogatási Munkaszervezet kerül létrehozásra.</w:t>
      </w:r>
    </w:p>
    <w:p w:rsidR="00481EF6" w:rsidRPr="00B1245B" w:rsidRDefault="00481EF6" w:rsidP="00481EF6">
      <w:pPr>
        <w:pStyle w:val="NormlWeb"/>
        <w:jc w:val="both"/>
      </w:pPr>
      <w:r w:rsidRPr="00B1245B">
        <w:t>Felhívja a Miniszterelnökséget vezető államtitkárt, hogy az 1. határozati pont végrehajtása érdekében az érintett miniszterek bevonásával a szükséges intézkedéseket tegye meg, ideértve az egyes közjogi szervezetszabályozó eszközök módosítását, és a Tervezési Támogatási Divízió humánkapacitásának biztosítását,</w:t>
      </w:r>
    </w:p>
    <w:p w:rsidR="00481EF6" w:rsidRPr="00B1245B" w:rsidRDefault="00481EF6" w:rsidP="00481EF6">
      <w:pPr>
        <w:pStyle w:val="NormlWeb"/>
        <w:jc w:val="both"/>
      </w:pPr>
      <w:r w:rsidRPr="00B1245B">
        <w:t>Felhívja az érintett minisztereket, hogy a Nemzeti Fejlesztési Ügynökségben, az Irányító Hatóságok keretein belül kialakításra kerülő Tervezési Támogatási Munkaszervezetek bevonásával dolgozzák fel a társadalmi egyeztetés során beérkező észrevételeket, és bocsássák azt a 2014-2020-as operatív programok tervezéséért felelős nemzetgazdasági miniszter rendelkezésére.</w:t>
      </w:r>
    </w:p>
    <w:p w:rsidR="00481EF6" w:rsidRPr="00B1245B" w:rsidRDefault="00481EF6" w:rsidP="00481EF6">
      <w:pPr>
        <w:pStyle w:val="NormlWeb"/>
        <w:jc w:val="both"/>
      </w:pPr>
      <w:r w:rsidRPr="00B1245B">
        <w:t>Döntött arról, hogy a 2014–2020-as európai uniós programok végrehajtásában kijelölésre kerülő közreműködő szervezetek 2014. január 1-től az érintett – az 1600/2012. (XII. 17.) Korm. határozat 1. mellékletében rögzített – miniszterek irányítása alá kerülnek, döntött arról, hogy a regionális fejlesztési ügynökségek 2014. január 1-től a területileg érintett megyei önkormányzatok irányítása alá kerülnek, döntött arról, hogy a 2014–2020-as programozási időszakban az intézményrendszeri humánkapacitások és kompetenciák megtartása és kiépítése érdekében Karrier Programot szükséges kidolgozni az intézményrendszer szereplői részére.</w:t>
      </w:r>
    </w:p>
    <w:p w:rsidR="00481EF6" w:rsidRPr="00B1245B" w:rsidRDefault="00481EF6" w:rsidP="00481EF6">
      <w:pPr>
        <w:pStyle w:val="NormlWeb"/>
        <w:spacing w:before="160" w:beforeAutospacing="0" w:after="80" w:afterAutospacing="0"/>
        <w:jc w:val="both"/>
      </w:pPr>
      <w:r w:rsidRPr="00B1245B">
        <w:rPr>
          <w:b/>
          <w:bCs/>
        </w:rPr>
        <w:t>1814/2013. (XI. 14.) Korm. határozat</w:t>
      </w:r>
      <w:r w:rsidRPr="00B1245B">
        <w:t xml:space="preserve"> </w:t>
      </w:r>
      <w:r w:rsidRPr="00B1245B">
        <w:rPr>
          <w:b/>
          <w:bCs/>
        </w:rPr>
        <w:t>a 2014–2020-as európai uniós programok lebonyolítását támogató intézményrendszer felállításának szervezeti kereteiről és az európai uniós fejlesztési források felhasználásához kapcsolódó egyes feladat- és hatáskörökről, és az e-közigazgatás fejlesztésének jövőbeni irányairól</w:t>
      </w:r>
    </w:p>
    <w:p w:rsidR="00481EF6" w:rsidRPr="00B1245B" w:rsidRDefault="00481EF6" w:rsidP="00481EF6">
      <w:pPr>
        <w:pStyle w:val="NormlWeb"/>
        <w:jc w:val="both"/>
      </w:pPr>
      <w:r w:rsidRPr="00B1245B">
        <w:t>A Kormány az európai uniós programok lebonyolítását támogató intézményrendszer átalakításainak irányairól szóló korábbi határozatait megerősítette, a 2007–13-as időszak és a 2014–20-as időszak végrehajtása közötti gördülékeny átmenet biztosítása, a szakpolitikai irányok még teljesebb körű érvényesítése és az intézményrendszer hatékonyabb működése érdekében.</w:t>
      </w:r>
    </w:p>
    <w:p w:rsidR="00481EF6" w:rsidRPr="00B1245B" w:rsidRDefault="00481EF6" w:rsidP="00481EF6">
      <w:pPr>
        <w:spacing w:before="100" w:beforeAutospacing="1" w:after="100" w:afterAutospacing="1" w:line="240" w:lineRule="auto"/>
        <w:jc w:val="both"/>
        <w:rPr>
          <w:rFonts w:ascii="Times New Roman" w:hAnsi="Times New Roman"/>
          <w:b/>
          <w:sz w:val="24"/>
          <w:szCs w:val="24"/>
          <w:lang w:eastAsia="hu-HU"/>
        </w:rPr>
      </w:pPr>
    </w:p>
    <w:p w:rsidR="00481EF6" w:rsidRPr="00B1245B" w:rsidRDefault="00481EF6" w:rsidP="00481EF6">
      <w:pPr>
        <w:pStyle w:val="NormlWeb"/>
        <w:spacing w:before="160" w:beforeAutospacing="0" w:after="80" w:afterAutospacing="0"/>
        <w:jc w:val="both"/>
      </w:pPr>
      <w:r w:rsidRPr="00B1245B">
        <w:rPr>
          <w:b/>
          <w:bCs/>
        </w:rPr>
        <w:t>2018/2013. (XII. 29.) Korm. határozat</w:t>
      </w:r>
      <w:r w:rsidRPr="00B1245B">
        <w:t xml:space="preserve"> </w:t>
      </w:r>
      <w:r w:rsidRPr="00B1245B">
        <w:rPr>
          <w:b/>
          <w:bCs/>
        </w:rPr>
        <w:t>a gazdaságfejlesztési célokat szolgáló operatív programok esetében az integrált területi beruházás eszköz alkalmazásának módjáról, valamint az eszköz használatához szükséges feltételekről</w:t>
      </w:r>
    </w:p>
    <w:p w:rsidR="00481EF6" w:rsidRPr="00B1245B" w:rsidRDefault="00481EF6" w:rsidP="00481EF6">
      <w:pPr>
        <w:pStyle w:val="NormlWeb"/>
        <w:spacing w:before="160" w:beforeAutospacing="0" w:after="80" w:afterAutospacing="0"/>
        <w:jc w:val="both"/>
        <w:rPr>
          <w:bCs/>
        </w:rPr>
      </w:pPr>
      <w:r w:rsidRPr="00B1245B">
        <w:rPr>
          <w:bCs/>
        </w:rPr>
        <w:t>A Kormány</w:t>
      </w:r>
    </w:p>
    <w:p w:rsidR="00481EF6" w:rsidRPr="00B1245B" w:rsidRDefault="00481EF6" w:rsidP="00481EF6">
      <w:pPr>
        <w:pStyle w:val="NormlWeb"/>
        <w:spacing w:before="160" w:beforeAutospacing="0" w:after="80" w:afterAutospacing="0"/>
        <w:jc w:val="both"/>
        <w:rPr>
          <w:bCs/>
        </w:rPr>
      </w:pPr>
      <w:r w:rsidRPr="00B1245B">
        <w:rPr>
          <w:bCs/>
        </w:rPr>
        <w:t>1. egyetért azzal, hogy a 2014–2020 között rendelkezésre álló európai uniós támogatási források hatékony és eredményes felhasználásának biztosítása érdekben szükség van olyan területileg integrált fejlesztések megvalósításra, amelyet egy, de akár több operatív program legalább két prioritási tengelye finanszíroz,</w:t>
      </w:r>
    </w:p>
    <w:p w:rsidR="00481EF6" w:rsidRPr="00B1245B" w:rsidRDefault="00481EF6" w:rsidP="00481EF6">
      <w:pPr>
        <w:pStyle w:val="NormlWeb"/>
        <w:spacing w:before="160" w:beforeAutospacing="0" w:after="80" w:afterAutospacing="0"/>
        <w:jc w:val="both"/>
        <w:rPr>
          <w:bCs/>
        </w:rPr>
      </w:pPr>
      <w:r w:rsidRPr="00B1245B">
        <w:rPr>
          <w:bCs/>
        </w:rPr>
        <w:t>2. egyetért azzal, hogy a funkcionális területegységek esetében az integrált területi beruházás eszköz alkalmazásának mérlegeléséhez szükséges, hogy a térség területi lehatárolása megtörténjen, valamint fejlesztési stratégiával és a feladat végrehajtására képes intézményrendszerrel rendelkezzen,</w:t>
      </w:r>
    </w:p>
    <w:p w:rsidR="00481EF6" w:rsidRPr="00B1245B" w:rsidRDefault="00481EF6" w:rsidP="00481EF6">
      <w:pPr>
        <w:pStyle w:val="NormlWeb"/>
        <w:spacing w:before="160" w:beforeAutospacing="0" w:after="80" w:afterAutospacing="0"/>
        <w:jc w:val="both"/>
        <w:rPr>
          <w:bCs/>
        </w:rPr>
      </w:pPr>
      <w:r w:rsidRPr="00B1245B">
        <w:rPr>
          <w:bCs/>
        </w:rPr>
        <w:t>3. támogatja, hogy a területileg integrált fejlesztések megvalósítása során az uniós kohéziós rendelettervezetek jelenlegi tartalma alapján az integrált területi beruházás eszköz a gazdaságfejlesztési célokat szolgáló operatív programok esetében az alábbi területtípusok és tématerületek esetében kerüljön alkalmazásra:</w:t>
      </w:r>
    </w:p>
    <w:p w:rsidR="00481EF6" w:rsidRPr="00B1245B" w:rsidRDefault="00481EF6" w:rsidP="00481EF6">
      <w:pPr>
        <w:pStyle w:val="NormlWeb"/>
        <w:spacing w:before="160" w:beforeAutospacing="0" w:after="80" w:afterAutospacing="0"/>
        <w:jc w:val="both"/>
        <w:rPr>
          <w:bCs/>
        </w:rPr>
      </w:pPr>
      <w:proofErr w:type="gramStart"/>
      <w:r w:rsidRPr="00B1245B">
        <w:rPr>
          <w:bCs/>
        </w:rPr>
        <w:t>a</w:t>
      </w:r>
      <w:proofErr w:type="gramEnd"/>
      <w:r w:rsidRPr="00B1245B">
        <w:rPr>
          <w:bCs/>
        </w:rPr>
        <w:t>) a funkcionális területegységek közül kísérleti jelleggel a Balaton Kiemelt Üdülőkörzet esetében gazdaságfejlesztési céllal, lehetőség szerint több operatív program forrását integrálva,</w:t>
      </w:r>
    </w:p>
    <w:p w:rsidR="00481EF6" w:rsidRPr="00B1245B" w:rsidRDefault="00481EF6" w:rsidP="00481EF6">
      <w:pPr>
        <w:pStyle w:val="NormlWeb"/>
        <w:spacing w:before="160" w:beforeAutospacing="0" w:after="80" w:afterAutospacing="0"/>
        <w:jc w:val="both"/>
        <w:rPr>
          <w:bCs/>
        </w:rPr>
      </w:pPr>
      <w:r w:rsidRPr="00B1245B">
        <w:rPr>
          <w:bCs/>
        </w:rPr>
        <w:t>b) a kevésbé fejlett régiókban található megyei jogú városok esetében fenntartható városfejlesztés céllal, lehetőség szerint több operatív program forrását integrálva,</w:t>
      </w:r>
    </w:p>
    <w:p w:rsidR="00481EF6" w:rsidRPr="00B1245B" w:rsidRDefault="00481EF6" w:rsidP="00481EF6">
      <w:pPr>
        <w:pStyle w:val="NormlWeb"/>
        <w:spacing w:before="160" w:beforeAutospacing="0" w:after="80" w:afterAutospacing="0"/>
        <w:jc w:val="both"/>
        <w:rPr>
          <w:bCs/>
        </w:rPr>
      </w:pPr>
      <w:r w:rsidRPr="00B1245B">
        <w:rPr>
          <w:bCs/>
        </w:rPr>
        <w:t>c) a kevésbé fejlett régiókban található megyék esetében gazdaságfejlesztési céllal, a megye teljes területére, lehetőség szerint több operatív program forrását integrálva,</w:t>
      </w:r>
    </w:p>
    <w:p w:rsidR="00481EF6" w:rsidRPr="00B1245B" w:rsidRDefault="00481EF6" w:rsidP="00481EF6">
      <w:pPr>
        <w:pStyle w:val="NormlWeb"/>
        <w:spacing w:before="160" w:beforeAutospacing="0" w:after="80" w:afterAutospacing="0"/>
        <w:jc w:val="both"/>
        <w:rPr>
          <w:bCs/>
        </w:rPr>
      </w:pPr>
      <w:r w:rsidRPr="00B1245B">
        <w:rPr>
          <w:bCs/>
        </w:rPr>
        <w:t>d) a fejlettebb régiókategóriába tartozó Közép-Magyarországi Régióban Budapest főváros és Pest megye esetében,</w:t>
      </w:r>
    </w:p>
    <w:p w:rsidR="00481EF6" w:rsidRPr="00B1245B" w:rsidRDefault="00481EF6" w:rsidP="00481EF6">
      <w:pPr>
        <w:pStyle w:val="NormlWeb"/>
        <w:spacing w:before="160" w:beforeAutospacing="0" w:after="80" w:afterAutospacing="0"/>
        <w:jc w:val="both"/>
        <w:rPr>
          <w:bCs/>
        </w:rPr>
      </w:pPr>
      <w:r w:rsidRPr="00B1245B">
        <w:rPr>
          <w:bCs/>
        </w:rPr>
        <w:t>4. felhívja az egyes operatív programok tervezéséért felelős minisztereket, hogy az operatív programok célrendszerével és támogatási lehetőségeivel, valamint az európai uniós előírásokkal összhangban határozzák meg az egyes prioritás tengelyek vonatkozásában a 3. pontban megjelölt területtípusok esetében készülő integrált területi beruházás eszközökhöz rendelkezésre bocsátható források nagyságát, valamint e források tervezésével kapcsolatos feltételeket.</w:t>
      </w:r>
    </w:p>
    <w:p w:rsidR="00481EF6" w:rsidRPr="00B1245B" w:rsidRDefault="00481EF6" w:rsidP="00481EF6">
      <w:pPr>
        <w:spacing w:before="100" w:beforeAutospacing="1" w:after="100" w:afterAutospacing="1" w:line="240" w:lineRule="auto"/>
        <w:jc w:val="both"/>
        <w:rPr>
          <w:rFonts w:ascii="Times New Roman" w:hAnsi="Times New Roman"/>
          <w:b/>
          <w:sz w:val="24"/>
          <w:szCs w:val="24"/>
          <w:lang w:eastAsia="hu-HU"/>
        </w:rPr>
      </w:pPr>
      <w:proofErr w:type="gramStart"/>
      <w:r w:rsidRPr="00B1245B">
        <w:rPr>
          <w:rFonts w:ascii="Times New Roman" w:hAnsi="Times New Roman"/>
          <w:b/>
          <w:sz w:val="24"/>
          <w:szCs w:val="24"/>
          <w:lang w:eastAsia="hu-HU"/>
        </w:rPr>
        <w:t>550/2013.</w:t>
      </w:r>
      <w:proofErr w:type="gramEnd"/>
      <w:r w:rsidRPr="00B1245B">
        <w:rPr>
          <w:rFonts w:ascii="Times New Roman" w:hAnsi="Times New Roman"/>
          <w:b/>
          <w:sz w:val="24"/>
          <w:szCs w:val="24"/>
          <w:lang w:eastAsia="hu-HU"/>
        </w:rPr>
        <w:t xml:space="preserve"> </w:t>
      </w:r>
      <w:proofErr w:type="gramStart"/>
      <w:r w:rsidRPr="00B1245B">
        <w:rPr>
          <w:rFonts w:ascii="Times New Roman" w:hAnsi="Times New Roman"/>
          <w:b/>
          <w:sz w:val="24"/>
          <w:szCs w:val="24"/>
          <w:lang w:eastAsia="hu-HU"/>
        </w:rPr>
        <w:t>(XII. 30.)</w:t>
      </w:r>
      <w:proofErr w:type="gramEnd"/>
      <w:r w:rsidRPr="00B1245B">
        <w:rPr>
          <w:rFonts w:ascii="Times New Roman" w:hAnsi="Times New Roman"/>
          <w:b/>
          <w:sz w:val="24"/>
          <w:szCs w:val="24"/>
          <w:lang w:eastAsia="hu-HU"/>
        </w:rPr>
        <w:t xml:space="preserve"> </w:t>
      </w:r>
      <w:proofErr w:type="spellStart"/>
      <w:proofErr w:type="gramStart"/>
      <w:r w:rsidRPr="00B1245B">
        <w:rPr>
          <w:rFonts w:ascii="Times New Roman" w:hAnsi="Times New Roman"/>
          <w:b/>
          <w:sz w:val="24"/>
          <w:szCs w:val="24"/>
          <w:lang w:eastAsia="hu-HU"/>
        </w:rPr>
        <w:t>Korm</w:t>
      </w:r>
      <w:proofErr w:type="spellEnd"/>
      <w:r w:rsidRPr="00B1245B">
        <w:rPr>
          <w:rFonts w:ascii="Times New Roman" w:hAnsi="Times New Roman"/>
          <w:b/>
          <w:sz w:val="24"/>
          <w:szCs w:val="24"/>
          <w:lang w:eastAsia="hu-HU"/>
        </w:rPr>
        <w:t>.</w:t>
      </w:r>
      <w:proofErr w:type="gramEnd"/>
      <w:r w:rsidRPr="00B1245B">
        <w:rPr>
          <w:rFonts w:ascii="Times New Roman" w:hAnsi="Times New Roman"/>
          <w:b/>
          <w:sz w:val="24"/>
          <w:szCs w:val="24"/>
          <w:lang w:eastAsia="hu-HU"/>
        </w:rPr>
        <w:t xml:space="preserve"> </w:t>
      </w:r>
      <w:proofErr w:type="spellStart"/>
      <w:proofErr w:type="gramStart"/>
      <w:r w:rsidRPr="00B1245B">
        <w:rPr>
          <w:rFonts w:ascii="Times New Roman" w:hAnsi="Times New Roman"/>
          <w:b/>
          <w:sz w:val="24"/>
          <w:szCs w:val="24"/>
          <w:lang w:eastAsia="hu-HU"/>
        </w:rPr>
        <w:t>rendelet</w:t>
      </w:r>
      <w:proofErr w:type="spellEnd"/>
      <w:proofErr w:type="gramEnd"/>
      <w:r w:rsidRPr="00B1245B">
        <w:rPr>
          <w:rFonts w:ascii="Times New Roman" w:hAnsi="Times New Roman"/>
          <w:b/>
          <w:sz w:val="24"/>
          <w:szCs w:val="24"/>
          <w:lang w:eastAsia="hu-HU"/>
        </w:rPr>
        <w:t xml:space="preserve"> a </w:t>
      </w:r>
      <w:proofErr w:type="spellStart"/>
      <w:r w:rsidRPr="00B1245B">
        <w:rPr>
          <w:rFonts w:ascii="Times New Roman" w:hAnsi="Times New Roman"/>
          <w:b/>
          <w:sz w:val="24"/>
          <w:szCs w:val="24"/>
          <w:lang w:eastAsia="hu-HU"/>
        </w:rPr>
        <w:t>fejlesztéspolitikai</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intézményrendszer</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átalakításával</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összefüggő</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egyes</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kormányrendeletek</w:t>
      </w:r>
      <w:proofErr w:type="spellEnd"/>
      <w:r w:rsidRPr="00B1245B">
        <w:rPr>
          <w:rFonts w:ascii="Times New Roman" w:hAnsi="Times New Roman"/>
          <w:b/>
          <w:sz w:val="24"/>
          <w:szCs w:val="24"/>
          <w:lang w:eastAsia="hu-HU"/>
        </w:rPr>
        <w:t xml:space="preserve"> </w:t>
      </w:r>
      <w:proofErr w:type="spellStart"/>
      <w:r w:rsidRPr="00B1245B">
        <w:rPr>
          <w:rFonts w:ascii="Times New Roman" w:hAnsi="Times New Roman"/>
          <w:b/>
          <w:sz w:val="24"/>
          <w:szCs w:val="24"/>
          <w:lang w:eastAsia="hu-HU"/>
        </w:rPr>
        <w:t>módosításáról</w:t>
      </w:r>
      <w:proofErr w:type="spellEnd"/>
    </w:p>
    <w:p w:rsidR="0019432D" w:rsidRPr="00B1245B" w:rsidRDefault="0019432D" w:rsidP="00481EF6">
      <w:pPr>
        <w:pStyle w:val="NormlWeb"/>
        <w:spacing w:before="160" w:beforeAutospacing="0" w:after="80" w:afterAutospacing="0"/>
        <w:jc w:val="both"/>
      </w:pPr>
      <w:r w:rsidRPr="00B1245B">
        <w:rPr>
          <w:b/>
          <w:bCs/>
        </w:rPr>
        <w:t>1/2014. (I. 3.) OGY határozat</w:t>
      </w:r>
      <w:r w:rsidR="00CA532A" w:rsidRPr="00B1245B">
        <w:t xml:space="preserve"> </w:t>
      </w:r>
      <w:r w:rsidRPr="00B1245B">
        <w:rPr>
          <w:b/>
          <w:bCs/>
        </w:rPr>
        <w:t>a Nemzeti Fejlesztés 2030 – Országos Fejlesztési és Területfejlesztési Koncepcióról</w:t>
      </w:r>
    </w:p>
    <w:p w:rsidR="00F14EFE" w:rsidRPr="00B1245B" w:rsidRDefault="0019432D" w:rsidP="00481EF6">
      <w:pPr>
        <w:pStyle w:val="NormlWeb"/>
        <w:spacing w:before="0" w:beforeAutospacing="0" w:after="120" w:afterAutospacing="0"/>
        <w:contextualSpacing/>
        <w:jc w:val="both"/>
      </w:pPr>
      <w:r w:rsidRPr="00B1245B">
        <w:t>Az Országgyűlés</w:t>
      </w:r>
      <w:r w:rsidR="009304E4" w:rsidRPr="00B1245B">
        <w:t xml:space="preserve"> </w:t>
      </w:r>
      <w:r w:rsidRPr="00B1245B">
        <w:t>Magyarország Alaptörvényébe foglalt, a fenntartható fejlődés, a jövő nemzedékek lehetőségeinek védelme és a nemzeti erőforrásainkkal való hosszú távú felelős gazdálkodás követelményeinek érvényesítése érdekében,</w:t>
      </w:r>
    </w:p>
    <w:p w:rsidR="0019432D" w:rsidRPr="00B1245B" w:rsidRDefault="0019432D" w:rsidP="00481EF6">
      <w:pPr>
        <w:pStyle w:val="NormlWeb"/>
        <w:spacing w:before="0" w:beforeAutospacing="0" w:after="120" w:afterAutospacing="0"/>
        <w:contextualSpacing/>
        <w:jc w:val="both"/>
      </w:pPr>
      <w:r w:rsidRPr="00B1245B">
        <w:t>– tekintettel a hazai és globális kihívásokra, valamint a fenntartható fejlődésre vonatkozó nemzetközi és közös európai célkitűzésekre,</w:t>
      </w:r>
    </w:p>
    <w:p w:rsidR="0019432D" w:rsidRPr="00B1245B" w:rsidRDefault="0019432D" w:rsidP="00481EF6">
      <w:pPr>
        <w:pStyle w:val="NormlWeb"/>
        <w:spacing w:before="0" w:beforeAutospacing="0" w:after="120" w:afterAutospacing="0"/>
        <w:contextualSpacing/>
        <w:jc w:val="both"/>
      </w:pPr>
      <w:r w:rsidRPr="00B1245B">
        <w:t>– tekintettel hazánk jövőképére, miszerint Magyarország 2030-ra Kelet–Közép Európa gazdasági és szellemi központjává válik, lakosságának biztonságos megélhetést biztosító, az erőforrások fenntartható használatára épülő versenyképes gazdasággal, gyarapodó népességgel, megerősödött közösségekkel, javuló életminőséggel és környezeti állapottal,</w:t>
      </w:r>
    </w:p>
    <w:p w:rsidR="0019432D" w:rsidRPr="00B1245B" w:rsidRDefault="0019432D" w:rsidP="00481EF6">
      <w:pPr>
        <w:pStyle w:val="NormlWeb"/>
        <w:spacing w:before="0" w:beforeAutospacing="0" w:after="120" w:afterAutospacing="0"/>
        <w:contextualSpacing/>
        <w:jc w:val="both"/>
      </w:pPr>
      <w:r w:rsidRPr="00B1245B">
        <w:t>– számolva azzal, hogy a fejlesztés és a fenntarthatóság biztosítása valamennyi nemzeti erőforrás (az emberi, a társadalmi, a természeti és a gazdasági erőforrások) kiegyensúlyozott, egymással összhangban lévő megőrzését, fejlesztését igényli, ezért a fenntartható fejlődés követelményeinek érvényesítése valamennyi szakpolitikai terület számára feladatokat ad,</w:t>
      </w:r>
    </w:p>
    <w:p w:rsidR="0019432D" w:rsidRPr="00B1245B" w:rsidRDefault="0019432D" w:rsidP="00481EF6">
      <w:pPr>
        <w:pStyle w:val="NormlWeb"/>
        <w:spacing w:before="0" w:beforeAutospacing="0" w:after="120" w:afterAutospacing="0"/>
        <w:contextualSpacing/>
        <w:jc w:val="both"/>
      </w:pPr>
      <w:r w:rsidRPr="00B1245B">
        <w:t>– figyelembe véve a széles körű társadalmi egyeztetés tapasztalatait,</w:t>
      </w:r>
    </w:p>
    <w:p w:rsidR="0019432D" w:rsidRPr="00B1245B" w:rsidRDefault="0019432D" w:rsidP="00481EF6">
      <w:pPr>
        <w:pStyle w:val="NormlWeb"/>
        <w:spacing w:before="0" w:beforeAutospacing="0" w:after="120" w:afterAutospacing="0"/>
        <w:contextualSpacing/>
        <w:jc w:val="both"/>
      </w:pPr>
      <w:proofErr w:type="gramStart"/>
      <w:r w:rsidRPr="00B1245B">
        <w:t>a</w:t>
      </w:r>
      <w:proofErr w:type="gramEnd"/>
      <w:r w:rsidRPr="00B1245B">
        <w:t xml:space="preserve"> következő határozatot hozza:</w:t>
      </w:r>
    </w:p>
    <w:p w:rsidR="009A483B" w:rsidRPr="00B1245B" w:rsidRDefault="009A483B" w:rsidP="00481EF6">
      <w:pPr>
        <w:pStyle w:val="NormlWeb"/>
        <w:spacing w:before="0" w:beforeAutospacing="0" w:after="120" w:afterAutospacing="0"/>
        <w:contextualSpacing/>
        <w:jc w:val="both"/>
      </w:pPr>
    </w:p>
    <w:p w:rsidR="009A483B" w:rsidRPr="00B1245B" w:rsidRDefault="0019432D" w:rsidP="00481EF6">
      <w:pPr>
        <w:pStyle w:val="NormlWeb"/>
        <w:contextualSpacing/>
        <w:jc w:val="both"/>
      </w:pPr>
      <w:r w:rsidRPr="00B1245B">
        <w:t>1. Az Országgyűlés e</w:t>
      </w:r>
      <w:r w:rsidR="009D6B58" w:rsidRPr="00B1245B">
        <w:t>lfogadja a</w:t>
      </w:r>
      <w:r w:rsidRPr="00B1245B">
        <w:t xml:space="preserve"> Nemzeti Fejlesztés 2030 – Országos Fejlesztési és Területfejlesztési Koncepciót (a továbbiakban: Koncepció).</w:t>
      </w:r>
    </w:p>
    <w:p w:rsidR="0019432D" w:rsidRPr="00B1245B" w:rsidRDefault="0019432D" w:rsidP="00481EF6">
      <w:pPr>
        <w:pStyle w:val="NormlWeb"/>
        <w:contextualSpacing/>
        <w:jc w:val="both"/>
      </w:pPr>
      <w:r w:rsidRPr="00B1245B">
        <w:t>2. Az Országgyűlés megerősíti, hogy</w:t>
      </w:r>
    </w:p>
    <w:p w:rsidR="0019432D" w:rsidRPr="00B1245B" w:rsidRDefault="0019432D" w:rsidP="00481EF6">
      <w:pPr>
        <w:pStyle w:val="NormlWeb"/>
        <w:contextualSpacing/>
        <w:jc w:val="both"/>
      </w:pPr>
      <w:proofErr w:type="gramStart"/>
      <w:r w:rsidRPr="00B1245B">
        <w:rPr>
          <w:i/>
          <w:iCs/>
        </w:rPr>
        <w:t>a</w:t>
      </w:r>
      <w:proofErr w:type="gramEnd"/>
      <w:r w:rsidRPr="00B1245B">
        <w:rPr>
          <w:i/>
          <w:iCs/>
        </w:rPr>
        <w:t>)</w:t>
      </w:r>
      <w:r w:rsidRPr="00B1245B">
        <w:t xml:space="preserve"> a Koncepcióban foglalt alapelveket és stratégiai célkitűzéseket a jogalkotásban és a szakpolitikai stratégia- és programalkotásban folyamatosan érvényre kell juttatni;</w:t>
      </w:r>
    </w:p>
    <w:p w:rsidR="0019432D" w:rsidRPr="00B1245B" w:rsidRDefault="0019432D" w:rsidP="00481EF6">
      <w:pPr>
        <w:pStyle w:val="NormlWeb"/>
        <w:jc w:val="both"/>
      </w:pPr>
      <w:r w:rsidRPr="00B1245B">
        <w:rPr>
          <w:i/>
          <w:iCs/>
        </w:rPr>
        <w:t>b)</w:t>
      </w:r>
      <w:r w:rsidRPr="00B1245B">
        <w:t xml:space="preserve"> az Országgyűlés és a Kormány döntéseit lehetőség szerint a Koncepcióban javasolt intézkedésekre és teendőkre figyelemmel kell meghozni;</w:t>
      </w:r>
    </w:p>
    <w:p w:rsidR="0019432D" w:rsidRPr="00B1245B" w:rsidRDefault="0019432D" w:rsidP="00481EF6">
      <w:pPr>
        <w:pStyle w:val="NormlWeb"/>
        <w:jc w:val="both"/>
      </w:pPr>
      <w:proofErr w:type="gramStart"/>
      <w:r w:rsidRPr="00B1245B">
        <w:rPr>
          <w:i/>
          <w:iCs/>
        </w:rPr>
        <w:t>c)</w:t>
      </w:r>
      <w:r w:rsidRPr="00B1245B">
        <w:t xml:space="preserve"> a Koncepció integrálja a hazai fejlesztési célokat és igényeket, meghatározza azok területi dimenzióit, ami a 2014–20-as európai uniós tervezési és költségvetési időszakra készülő tervdokumentumok (partnerségi megállapodás, operatív programok) megalapozását is szolgálja, valamint az ország társadalmi, gazdasági, valamint ágazati és területi fejlesztési szükségleteiből, illetve az EU 2020 Stratégiához és a Nemzeti Reform Programhoz vállalásaihoz illeszkedve hosszú távú jövőképet, fejlesztéspolitikai célokat és elveket határoz meg Magyarország számára.</w:t>
      </w:r>
      <w:proofErr w:type="gramEnd"/>
    </w:p>
    <w:p w:rsidR="0019432D" w:rsidRPr="00B1245B" w:rsidRDefault="0019432D" w:rsidP="00481EF6">
      <w:pPr>
        <w:pStyle w:val="NormlWeb"/>
        <w:jc w:val="both"/>
      </w:pPr>
      <w:r w:rsidRPr="00B1245B">
        <w:t>3. Az Országgyűlés megerősíti, hogy a nemzeti fejlesztés- és területfejlesztési politika céljai és prioritásai teljesülésének érdekében a Koncepció egyrészt horizontális szempontokat fogalmaz meg, melyeket az átfogó gazdasági, környezeti és társadalmi szempontokban jelenít meg, amelyeket a fejlesztéspolitika, a programtervezés és a megvalósítás egészében érvényesíteni kell, másrészt alapelveket határoz meg a fejlesztéspolitika keretében igénybe vett források felhasználásával kapcsolatban, valamint a kedvezményezett térségekkel-települések besorolásával kapcsolatban:</w:t>
      </w:r>
    </w:p>
    <w:p w:rsidR="0019432D" w:rsidRPr="00B1245B" w:rsidRDefault="0019432D" w:rsidP="00481EF6">
      <w:pPr>
        <w:pStyle w:val="NormlWeb"/>
        <w:jc w:val="both"/>
      </w:pPr>
      <w:proofErr w:type="gramStart"/>
      <w:r w:rsidRPr="00B1245B">
        <w:rPr>
          <w:i/>
          <w:iCs/>
        </w:rPr>
        <w:t>a</w:t>
      </w:r>
      <w:proofErr w:type="gramEnd"/>
      <w:r w:rsidRPr="00B1245B">
        <w:rPr>
          <w:i/>
          <w:iCs/>
        </w:rPr>
        <w:t>)</w:t>
      </w:r>
      <w:r w:rsidRPr="00B1245B">
        <w:t xml:space="preserve"> horizontális szempontok:</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befogadás – társadalmi felzárkózás,</w:t>
      </w:r>
    </w:p>
    <w:p w:rsidR="00CA532A" w:rsidRPr="00B1245B" w:rsidRDefault="00CA532A" w:rsidP="00481EF6">
      <w:pPr>
        <w:pStyle w:val="NormlWeb"/>
        <w:spacing w:before="0" w:beforeAutospacing="0"/>
        <w:contextualSpacing/>
        <w:jc w:val="both"/>
      </w:pPr>
      <w:r w:rsidRPr="00B1245B">
        <w:rPr>
          <w:i/>
          <w:iCs/>
        </w:rPr>
        <w:t>-</w:t>
      </w:r>
      <w:r w:rsidR="0019432D" w:rsidRPr="00B1245B">
        <w:t xml:space="preserve"> esélyegyenlőség megteremtése nemzetiségi identitás erősítése,</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fenntartható fejlődés – fenntartható növekedés,</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értékmegőrzés és intelligens növekedés;</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forrás felhasználási alapelvek:</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nemzeti fejlesztési célok és prioritások érvényesítése,</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a közpénz felhasználása közhasznot eredményezzen,</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partnerség és közösségi részvétel,</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foglalkoztatáshoz való hozzájárulás,</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a természeti erőforrások mennyiségi és minőségi megőrzése, a környezet állapotának és értékeinek megőrzése, javítása,</w:t>
      </w:r>
    </w:p>
    <w:p w:rsidR="00CA532A" w:rsidRPr="00B1245B" w:rsidRDefault="00CA532A" w:rsidP="00481EF6">
      <w:pPr>
        <w:pStyle w:val="NormlWeb"/>
        <w:spacing w:before="0" w:beforeAutospacing="0"/>
        <w:contextualSpacing/>
        <w:jc w:val="both"/>
      </w:pPr>
      <w:r w:rsidRPr="00B1245B">
        <w:rPr>
          <w:i/>
          <w:iCs/>
        </w:rPr>
        <w:t xml:space="preserve">- </w:t>
      </w:r>
      <w:r w:rsidR="0019432D" w:rsidRPr="00B1245B">
        <w:t>megtermelt értékek hasznosulása a helyi közösség javára, kedvezményezettség,</w:t>
      </w:r>
    </w:p>
    <w:p w:rsidR="00CA532A" w:rsidRPr="00B1245B" w:rsidRDefault="00CA532A" w:rsidP="00481EF6">
      <w:pPr>
        <w:pStyle w:val="NormlWeb"/>
        <w:spacing w:before="0" w:beforeAutospacing="0"/>
        <w:contextualSpacing/>
        <w:jc w:val="both"/>
      </w:pPr>
      <w:r w:rsidRPr="00B1245B">
        <w:rPr>
          <w:i/>
          <w:iCs/>
        </w:rPr>
        <w:t xml:space="preserve">- </w:t>
      </w:r>
      <w:r w:rsidR="0019432D" w:rsidRPr="00B1245B">
        <w:t>a területfejlesztési szempontból kedvezményezett, ezen belül a leghátrányosabb helyzetű járások és települések fejlesztésére rendelkezésre álló forrásokat meghatározott támogatási szabályok alapján indokolt felhasználni,</w:t>
      </w:r>
    </w:p>
    <w:p w:rsidR="00CA532A" w:rsidRPr="00B1245B" w:rsidRDefault="00CA532A" w:rsidP="00481EF6">
      <w:pPr>
        <w:pStyle w:val="NormlWeb"/>
        <w:spacing w:before="0" w:beforeAutospacing="0"/>
        <w:contextualSpacing/>
        <w:jc w:val="both"/>
      </w:pPr>
      <w:r w:rsidRPr="00B1245B">
        <w:rPr>
          <w:i/>
          <w:iCs/>
        </w:rPr>
        <w:t xml:space="preserve">- </w:t>
      </w:r>
      <w:r w:rsidR="0019432D" w:rsidRPr="00B1245B">
        <w:t>a területfejlesztési szempontból kedvezményezett, ezen belül a leghátrányosabb helyzetű járásokból és településekről benyújtott pályázatokat a pályázatok értékelése során a felzárkóztatás elősegítése érdekében indokolt előnyben részesíteni;</w:t>
      </w:r>
    </w:p>
    <w:p w:rsidR="00CA532A" w:rsidRPr="00B1245B" w:rsidRDefault="00CA532A" w:rsidP="00481EF6">
      <w:pPr>
        <w:pStyle w:val="NormlWeb"/>
        <w:spacing w:before="0" w:beforeAutospacing="0"/>
        <w:contextualSpacing/>
        <w:jc w:val="both"/>
      </w:pPr>
      <w:r w:rsidRPr="00B1245B">
        <w:rPr>
          <w:i/>
          <w:iCs/>
        </w:rPr>
        <w:t xml:space="preserve">- </w:t>
      </w:r>
      <w:r w:rsidR="0019432D" w:rsidRPr="00B1245B">
        <w:t>a kedvezményezett járások, települések besorolásának alapelvei:</w:t>
      </w:r>
    </w:p>
    <w:p w:rsidR="00CA532A" w:rsidRPr="00B1245B" w:rsidRDefault="00CA532A" w:rsidP="00481EF6">
      <w:pPr>
        <w:pStyle w:val="NormlWeb"/>
        <w:spacing w:before="0" w:beforeAutospacing="0"/>
        <w:contextualSpacing/>
        <w:jc w:val="both"/>
      </w:pPr>
      <w:r w:rsidRPr="00B1245B">
        <w:rPr>
          <w:i/>
          <w:iCs/>
        </w:rPr>
        <w:t xml:space="preserve">- </w:t>
      </w:r>
      <w:r w:rsidR="0019432D" w:rsidRPr="00B1245B">
        <w:t>a rendszernek koherensnek kell lennie,</w:t>
      </w:r>
    </w:p>
    <w:p w:rsidR="00CA532A" w:rsidRPr="00B1245B" w:rsidRDefault="00CA532A" w:rsidP="00481EF6">
      <w:pPr>
        <w:pStyle w:val="NormlWeb"/>
        <w:spacing w:before="0" w:beforeAutospacing="0"/>
        <w:contextualSpacing/>
        <w:jc w:val="both"/>
      </w:pPr>
      <w:r w:rsidRPr="00B1245B">
        <w:rPr>
          <w:i/>
          <w:iCs/>
        </w:rPr>
        <w:t xml:space="preserve">- </w:t>
      </w:r>
      <w:r w:rsidR="0019432D" w:rsidRPr="00B1245B">
        <w:t>csak olyan mutatók használata fogadható el, amelyek mérhetőek, ellenőrizhetőek, nyilvánosak, azaz minden érintett számára hozzáférhetőek és dinamikus összehasonlításra alkalmasak,</w:t>
      </w:r>
    </w:p>
    <w:p w:rsidR="00CA532A" w:rsidRPr="00B1245B" w:rsidRDefault="00CA532A" w:rsidP="00481EF6">
      <w:pPr>
        <w:pStyle w:val="NormlWeb"/>
        <w:spacing w:before="0" w:beforeAutospacing="0"/>
        <w:contextualSpacing/>
        <w:jc w:val="both"/>
      </w:pPr>
      <w:r w:rsidRPr="00B1245B">
        <w:rPr>
          <w:i/>
          <w:iCs/>
        </w:rPr>
        <w:t xml:space="preserve">- </w:t>
      </w:r>
      <w:r w:rsidR="0019432D" w:rsidRPr="00B1245B">
        <w:t>a felhasznált mutatók száma korlátlanul nem bővíthető, és csak a települések és járások fejlettségét ténylegesen megragadó, azaz a besorolását ténylegesen differenciáló mutatókat indokolt figyelembe venni,</w:t>
      </w:r>
    </w:p>
    <w:p w:rsidR="0019432D" w:rsidRPr="00B1245B" w:rsidRDefault="00CA532A" w:rsidP="00481EF6">
      <w:pPr>
        <w:pStyle w:val="NormlWeb"/>
        <w:spacing w:before="0" w:beforeAutospacing="0"/>
        <w:contextualSpacing/>
        <w:jc w:val="both"/>
      </w:pPr>
      <w:r w:rsidRPr="00B1245B">
        <w:rPr>
          <w:i/>
          <w:iCs/>
        </w:rPr>
        <w:t xml:space="preserve">- </w:t>
      </w:r>
      <w:r w:rsidR="0019432D" w:rsidRPr="00B1245B">
        <w:t xml:space="preserve">a komplex mutató kiszámításánál használt </w:t>
      </w:r>
      <w:proofErr w:type="gramStart"/>
      <w:r w:rsidR="0019432D" w:rsidRPr="00B1245B">
        <w:t>módszernek</w:t>
      </w:r>
      <w:proofErr w:type="gramEnd"/>
      <w:r w:rsidR="0019432D" w:rsidRPr="00B1245B">
        <w:t xml:space="preserve"> egyszerűnek, átláthatónak kell lennie, hogy a besorolást a települések, járások képviselői könnyen ellenőrizhessék.</w:t>
      </w:r>
    </w:p>
    <w:p w:rsidR="00CA532A" w:rsidRPr="00B1245B" w:rsidRDefault="00CA532A" w:rsidP="00481EF6">
      <w:pPr>
        <w:pStyle w:val="NormlWeb"/>
        <w:spacing w:before="0" w:beforeAutospacing="0"/>
        <w:contextualSpacing/>
        <w:jc w:val="both"/>
      </w:pPr>
    </w:p>
    <w:p w:rsidR="0019432D" w:rsidRPr="00B1245B" w:rsidRDefault="0019432D" w:rsidP="00481EF6">
      <w:pPr>
        <w:pStyle w:val="NormlWeb"/>
        <w:spacing w:before="0" w:beforeAutospacing="0"/>
        <w:jc w:val="both"/>
      </w:pPr>
      <w:r w:rsidRPr="00B1245B">
        <w:t>4. Az Országgyűlés a nemzeti jövőkép elérése érdekében a Koncepcióban foglalt négy hosszú távú, 2030-ig szóló átfogó fejlesztési célt jelöl ki. A négy cél a társadalom és gazdaság egészének szól, beleértve a társadalom és a gazdasági környezethez való viszonyulást és a környezeti szempontokat is. Az átfogó célok a gazdasági és társadalmi fordulatot célozzák meg, az alábbiak szerint:</w:t>
      </w:r>
    </w:p>
    <w:p w:rsidR="0019432D" w:rsidRPr="00B1245B" w:rsidRDefault="0019432D" w:rsidP="00481EF6">
      <w:pPr>
        <w:pStyle w:val="NormlWeb"/>
        <w:jc w:val="both"/>
      </w:pPr>
      <w:proofErr w:type="gramStart"/>
      <w:r w:rsidRPr="00B1245B">
        <w:rPr>
          <w:i/>
          <w:iCs/>
        </w:rPr>
        <w:t>a</w:t>
      </w:r>
      <w:proofErr w:type="gramEnd"/>
      <w:r w:rsidRPr="00B1245B">
        <w:rPr>
          <w:i/>
          <w:iCs/>
        </w:rPr>
        <w:t>)</w:t>
      </w:r>
      <w:r w:rsidRPr="00B1245B">
        <w:t xml:space="preserve"> értékteremtő, foglalkoztatást biztosító gazdasági fejlődés,</w:t>
      </w:r>
    </w:p>
    <w:p w:rsidR="0019432D" w:rsidRPr="00B1245B" w:rsidRDefault="0019432D" w:rsidP="00481EF6">
      <w:pPr>
        <w:pStyle w:val="NormlWeb"/>
        <w:jc w:val="both"/>
      </w:pPr>
      <w:r w:rsidRPr="00B1245B">
        <w:rPr>
          <w:i/>
          <w:iCs/>
        </w:rPr>
        <w:t>b)</w:t>
      </w:r>
      <w:r w:rsidRPr="00B1245B">
        <w:t xml:space="preserve"> népesedési fordulat, egészséges és megújuló társadalom,</w:t>
      </w:r>
    </w:p>
    <w:p w:rsidR="0019432D" w:rsidRPr="00B1245B" w:rsidRDefault="0019432D" w:rsidP="00481EF6">
      <w:pPr>
        <w:pStyle w:val="NormlWeb"/>
        <w:jc w:val="both"/>
      </w:pPr>
      <w:r w:rsidRPr="00B1245B">
        <w:rPr>
          <w:i/>
          <w:iCs/>
        </w:rPr>
        <w:t>c)</w:t>
      </w:r>
      <w:r w:rsidRPr="00B1245B">
        <w:t xml:space="preserve"> természeti erőforrásaink fenntartható használata, értékeink megőrzése és környezetünk védelme,</w:t>
      </w:r>
    </w:p>
    <w:p w:rsidR="0019432D" w:rsidRPr="00B1245B" w:rsidRDefault="0019432D" w:rsidP="00481EF6">
      <w:pPr>
        <w:pStyle w:val="NormlWeb"/>
        <w:jc w:val="both"/>
      </w:pPr>
      <w:r w:rsidRPr="00B1245B">
        <w:rPr>
          <w:i/>
          <w:iCs/>
        </w:rPr>
        <w:t>d)</w:t>
      </w:r>
      <w:r w:rsidRPr="00B1245B">
        <w:t xml:space="preserve"> térségi potenciálokra alapozott, fenntartható térszerkezet.</w:t>
      </w:r>
    </w:p>
    <w:p w:rsidR="0019432D" w:rsidRPr="00B1245B" w:rsidRDefault="0019432D" w:rsidP="00481EF6">
      <w:pPr>
        <w:pStyle w:val="NormlWeb"/>
        <w:jc w:val="both"/>
      </w:pPr>
      <w:r w:rsidRPr="00B1245B">
        <w:t>5. Az átfogó célok megvalósulása érdekében az Országgyűlés megerősíti a Koncepció tizenhárom specifikus célkitűzését, köztük hét szakpolitikai jellegű célt és hat területi célt. A specifikus célok nemzeti jelentőségű ágazati és területi tématerületeket ölelnek fel. A célok a társadalom és a gazdaság egészének, valamint minden ágazatnak, térségi és helyi szereplőknek szólnak, továbbá kirajzolják azokat a fejlesztési súlypontokat is, amelyekre a középtávú – fókuszált – fejlesztési feladatok épülhetnek. A nemzeti fejlesztés- és területfejlesztési politika alakítása és a célok elérése során – a Koncepcióban megfogalmazott elvek figyelembevétele mellett – a specifikus célokat a lehetséges kitörési pontok és fordulatot igénylő területek alapján az Országgyűlés az alábbiak szerint határozza meg:</w:t>
      </w:r>
    </w:p>
    <w:p w:rsidR="0019432D" w:rsidRPr="00B1245B" w:rsidRDefault="0019432D" w:rsidP="00481EF6">
      <w:pPr>
        <w:pStyle w:val="NormlWeb"/>
        <w:jc w:val="both"/>
      </w:pPr>
      <w:proofErr w:type="gramStart"/>
      <w:r w:rsidRPr="00B1245B">
        <w:rPr>
          <w:i/>
          <w:iCs/>
        </w:rPr>
        <w:t>a</w:t>
      </w:r>
      <w:proofErr w:type="gramEnd"/>
      <w:r w:rsidRPr="00B1245B">
        <w:rPr>
          <w:i/>
          <w:iCs/>
        </w:rPr>
        <w:t>)</w:t>
      </w:r>
      <w:r w:rsidRPr="00B1245B">
        <w:t xml:space="preserve"> szakpolitikában érvényesítendő specifikus célok:</w:t>
      </w:r>
    </w:p>
    <w:p w:rsidR="0019432D" w:rsidRPr="00B1245B" w:rsidRDefault="0019432D" w:rsidP="00481EF6">
      <w:pPr>
        <w:pStyle w:val="NormlWeb"/>
        <w:jc w:val="both"/>
      </w:pPr>
      <w:r w:rsidRPr="00B1245B">
        <w:rPr>
          <w:i/>
          <w:iCs/>
        </w:rPr>
        <w:t>aa)</w:t>
      </w:r>
      <w:r w:rsidRPr="00B1245B">
        <w:t xml:space="preserve"> versenyképes, innovatív gazdaság,</w:t>
      </w:r>
    </w:p>
    <w:p w:rsidR="0019432D" w:rsidRPr="00B1245B" w:rsidRDefault="0019432D" w:rsidP="00481EF6">
      <w:pPr>
        <w:pStyle w:val="NormlWeb"/>
        <w:jc w:val="both"/>
      </w:pPr>
      <w:proofErr w:type="gramStart"/>
      <w:r w:rsidRPr="00B1245B">
        <w:rPr>
          <w:i/>
          <w:iCs/>
        </w:rPr>
        <w:t>ab</w:t>
      </w:r>
      <w:proofErr w:type="gramEnd"/>
      <w:r w:rsidRPr="00B1245B">
        <w:rPr>
          <w:i/>
          <w:iCs/>
        </w:rPr>
        <w:t>)</w:t>
      </w:r>
      <w:r w:rsidRPr="00B1245B">
        <w:t xml:space="preserve"> gyógyító Magyarország, egészséges társadalom, egészség- és sportgazdaság,</w:t>
      </w:r>
    </w:p>
    <w:p w:rsidR="0019432D" w:rsidRPr="00B1245B" w:rsidRDefault="0019432D" w:rsidP="00481EF6">
      <w:pPr>
        <w:pStyle w:val="NormlWeb"/>
        <w:jc w:val="both"/>
      </w:pPr>
      <w:r w:rsidRPr="00B1245B">
        <w:rPr>
          <w:i/>
          <w:iCs/>
        </w:rPr>
        <w:t>ac)</w:t>
      </w:r>
      <w:r w:rsidRPr="00B1245B">
        <w:t xml:space="preserve"> életképes vidék, egészséges élelmiszertermelés és ellátás, az élelmiszer-feldolgozóipar fejlesztése,</w:t>
      </w:r>
    </w:p>
    <w:p w:rsidR="0019432D" w:rsidRPr="00B1245B" w:rsidRDefault="0019432D" w:rsidP="00481EF6">
      <w:pPr>
        <w:pStyle w:val="NormlWeb"/>
        <w:jc w:val="both"/>
      </w:pPr>
      <w:proofErr w:type="gramStart"/>
      <w:r w:rsidRPr="00B1245B">
        <w:rPr>
          <w:i/>
          <w:iCs/>
        </w:rPr>
        <w:t>ad</w:t>
      </w:r>
      <w:proofErr w:type="gramEnd"/>
      <w:r w:rsidRPr="00B1245B">
        <w:rPr>
          <w:i/>
          <w:iCs/>
        </w:rPr>
        <w:t>)</w:t>
      </w:r>
      <w:r w:rsidRPr="00B1245B">
        <w:t xml:space="preserve"> kreatív tudástársadalom, piacképes készségek, K+F+I,</w:t>
      </w:r>
    </w:p>
    <w:p w:rsidR="0019432D" w:rsidRPr="00B1245B" w:rsidRDefault="0019432D" w:rsidP="00481EF6">
      <w:pPr>
        <w:pStyle w:val="NormlWeb"/>
        <w:jc w:val="both"/>
      </w:pPr>
      <w:r w:rsidRPr="00B1245B">
        <w:rPr>
          <w:i/>
          <w:iCs/>
        </w:rPr>
        <w:t>ae)</w:t>
      </w:r>
      <w:r w:rsidRPr="00B1245B">
        <w:t xml:space="preserve"> értéktudatos és szolidáris öngondoskodó társadalom,</w:t>
      </w:r>
    </w:p>
    <w:p w:rsidR="0019432D" w:rsidRPr="00B1245B" w:rsidRDefault="0019432D" w:rsidP="00481EF6">
      <w:pPr>
        <w:pStyle w:val="NormlWeb"/>
        <w:jc w:val="both"/>
      </w:pPr>
      <w:r w:rsidRPr="00B1245B">
        <w:rPr>
          <w:i/>
          <w:iCs/>
        </w:rPr>
        <w:t>af)</w:t>
      </w:r>
      <w:r w:rsidRPr="00B1245B">
        <w:t xml:space="preserve"> jó állam, szolgáltató állam és biztonság,</w:t>
      </w:r>
    </w:p>
    <w:p w:rsidR="0019432D" w:rsidRPr="00B1245B" w:rsidRDefault="0019432D" w:rsidP="00481EF6">
      <w:pPr>
        <w:pStyle w:val="NormlWeb"/>
        <w:jc w:val="both"/>
      </w:pPr>
      <w:r w:rsidRPr="00B1245B">
        <w:rPr>
          <w:i/>
          <w:iCs/>
        </w:rPr>
        <w:t>ag)</w:t>
      </w:r>
      <w:r w:rsidRPr="00B1245B">
        <w:t xml:space="preserve"> stratégiai erőforrások megőrzése, fenntartható használata, környezetünk védelme,</w:t>
      </w:r>
    </w:p>
    <w:p w:rsidR="0019432D" w:rsidRPr="00B1245B" w:rsidRDefault="0019432D" w:rsidP="00481EF6">
      <w:pPr>
        <w:pStyle w:val="NormlWeb"/>
        <w:jc w:val="both"/>
      </w:pPr>
      <w:r w:rsidRPr="00B1245B">
        <w:rPr>
          <w:i/>
          <w:iCs/>
        </w:rPr>
        <w:t>b)</w:t>
      </w:r>
      <w:r w:rsidRPr="00B1245B">
        <w:t xml:space="preserve"> területi specifikus célok:</w:t>
      </w:r>
    </w:p>
    <w:p w:rsidR="0019432D" w:rsidRPr="00B1245B" w:rsidRDefault="0019432D" w:rsidP="00481EF6">
      <w:pPr>
        <w:pStyle w:val="NormlWeb"/>
        <w:jc w:val="both"/>
      </w:pPr>
      <w:r w:rsidRPr="00B1245B">
        <w:rPr>
          <w:i/>
          <w:iCs/>
        </w:rPr>
        <w:t>ba)</w:t>
      </w:r>
      <w:r w:rsidRPr="00B1245B">
        <w:t xml:space="preserve"> az ország </w:t>
      </w:r>
      <w:proofErr w:type="gramStart"/>
      <w:r w:rsidRPr="00B1245B">
        <w:t>makro-regionális szerepének</w:t>
      </w:r>
      <w:proofErr w:type="gramEnd"/>
      <w:r w:rsidRPr="00B1245B">
        <w:t xml:space="preserve"> erősítése,</w:t>
      </w:r>
    </w:p>
    <w:p w:rsidR="0019432D" w:rsidRPr="00B1245B" w:rsidRDefault="0019432D" w:rsidP="00481EF6">
      <w:pPr>
        <w:pStyle w:val="NormlWeb"/>
        <w:jc w:val="both"/>
      </w:pPr>
      <w:r w:rsidRPr="00B1245B">
        <w:rPr>
          <w:i/>
          <w:iCs/>
        </w:rPr>
        <w:t>bb)</w:t>
      </w:r>
      <w:r w:rsidRPr="00B1245B">
        <w:t xml:space="preserve"> a többközpontú térszerkezetet biztosító városhálózat,</w:t>
      </w:r>
    </w:p>
    <w:p w:rsidR="0019432D" w:rsidRPr="00B1245B" w:rsidRDefault="0019432D" w:rsidP="00481EF6">
      <w:pPr>
        <w:pStyle w:val="NormlWeb"/>
        <w:jc w:val="both"/>
      </w:pPr>
      <w:r w:rsidRPr="00B1245B">
        <w:rPr>
          <w:i/>
          <w:iCs/>
        </w:rPr>
        <w:t>bc)</w:t>
      </w:r>
      <w:r w:rsidRPr="00B1245B">
        <w:t xml:space="preserve"> vidéki térségek népességeltartó képességének növelése,</w:t>
      </w:r>
    </w:p>
    <w:p w:rsidR="0019432D" w:rsidRPr="00B1245B" w:rsidRDefault="0019432D" w:rsidP="00481EF6">
      <w:pPr>
        <w:pStyle w:val="NormlWeb"/>
        <w:jc w:val="both"/>
      </w:pPr>
      <w:r w:rsidRPr="00B1245B">
        <w:rPr>
          <w:i/>
          <w:iCs/>
        </w:rPr>
        <w:t>bd)</w:t>
      </w:r>
      <w:r w:rsidRPr="00B1245B">
        <w:t xml:space="preserve"> kiemelkedő táji értékű térségek fejlesztése,</w:t>
      </w:r>
    </w:p>
    <w:p w:rsidR="0019432D" w:rsidRPr="00B1245B" w:rsidRDefault="0019432D" w:rsidP="00481EF6">
      <w:pPr>
        <w:pStyle w:val="NormlWeb"/>
        <w:jc w:val="both"/>
      </w:pPr>
      <w:proofErr w:type="gramStart"/>
      <w:r w:rsidRPr="00B1245B">
        <w:rPr>
          <w:i/>
          <w:iCs/>
        </w:rPr>
        <w:t>be</w:t>
      </w:r>
      <w:proofErr w:type="gramEnd"/>
      <w:r w:rsidRPr="00B1245B">
        <w:rPr>
          <w:i/>
          <w:iCs/>
        </w:rPr>
        <w:t>)</w:t>
      </w:r>
      <w:r w:rsidRPr="00B1245B">
        <w:t xml:space="preserve"> területi különbségek csökkentése, térségi felzárkóztatás és gazdaságösztönzés elősegítése,</w:t>
      </w:r>
    </w:p>
    <w:p w:rsidR="0019432D" w:rsidRPr="00B1245B" w:rsidRDefault="0019432D" w:rsidP="00481EF6">
      <w:pPr>
        <w:pStyle w:val="NormlWeb"/>
        <w:jc w:val="both"/>
      </w:pPr>
      <w:r w:rsidRPr="00B1245B">
        <w:rPr>
          <w:i/>
          <w:iCs/>
        </w:rPr>
        <w:t>bf)</w:t>
      </w:r>
      <w:r w:rsidRPr="00B1245B">
        <w:t xml:space="preserve"> összekapcsolt terek: az elérhetőség és mobilitás biztosítása.</w:t>
      </w:r>
    </w:p>
    <w:p w:rsidR="0019432D" w:rsidRPr="00B1245B" w:rsidRDefault="0019432D" w:rsidP="00481EF6">
      <w:pPr>
        <w:pStyle w:val="NormlWeb"/>
        <w:jc w:val="both"/>
      </w:pPr>
      <w:r w:rsidRPr="00B1245B">
        <w:t>6. Az Országgyűlés megállapítja, hogy a fejlesztéspolitika elsődleges keretét az Európai Unió kohéziós és vidékfejlesztési politikája, illetve a 2014–2020-as programozási és fejlesztési időszakban rendelkezésre álló uniós fejlesztési források képezik. A Koncepció a nemzeti szükségletekből és sajátosságokból kiindulva középtávon (2014–2020 között) kijelöli azokat a stratégiai fókuszokat, amelyek az ország hosszú távú céljainak megvalósulását szolgálhatják. A nemzeti prioritások igazodnak az Európai Unió által megfogalmazott programozási keretekhez, melyeket érvényesíteni kell a hazai tervezés és végrehajtás során. Az egyes nemzeti prioritások alatt azonosított fejlesztési tématerületek az európai uniós források felhasználásának keretét képező 2014–2020-as fejlesztési programok tématerületeit is megalapozzák az alábbiak szerint:</w:t>
      </w:r>
    </w:p>
    <w:p w:rsidR="0019432D" w:rsidRPr="00B1245B" w:rsidRDefault="0019432D" w:rsidP="00481EF6">
      <w:pPr>
        <w:pStyle w:val="NormlWeb"/>
        <w:jc w:val="both"/>
      </w:pPr>
      <w:proofErr w:type="gramStart"/>
      <w:r w:rsidRPr="00B1245B">
        <w:rPr>
          <w:i/>
          <w:iCs/>
        </w:rPr>
        <w:t>a</w:t>
      </w:r>
      <w:proofErr w:type="gramEnd"/>
      <w:r w:rsidRPr="00B1245B">
        <w:rPr>
          <w:i/>
          <w:iCs/>
        </w:rPr>
        <w:t>)</w:t>
      </w:r>
      <w:r w:rsidRPr="00B1245B">
        <w:t xml:space="preserve"> patrióta gazdaság, kis- és középvállalati bázison, nagyvállalati partnerségben,</w:t>
      </w:r>
    </w:p>
    <w:p w:rsidR="0019432D" w:rsidRPr="00B1245B" w:rsidRDefault="0019432D" w:rsidP="00481EF6">
      <w:pPr>
        <w:pStyle w:val="NormlWeb"/>
        <w:jc w:val="both"/>
      </w:pPr>
      <w:r w:rsidRPr="00B1245B">
        <w:rPr>
          <w:i/>
          <w:iCs/>
        </w:rPr>
        <w:t>b)</w:t>
      </w:r>
      <w:r w:rsidRPr="00B1245B">
        <w:t xml:space="preserve"> fordulat a teljes foglalkoztatottság és tudástársadalom felé,</w:t>
      </w:r>
    </w:p>
    <w:p w:rsidR="0019432D" w:rsidRPr="00B1245B" w:rsidRDefault="0019432D" w:rsidP="00481EF6">
      <w:pPr>
        <w:pStyle w:val="NormlWeb"/>
        <w:jc w:val="both"/>
      </w:pPr>
      <w:r w:rsidRPr="00B1245B">
        <w:rPr>
          <w:i/>
          <w:iCs/>
        </w:rPr>
        <w:t>c)</w:t>
      </w:r>
      <w:r w:rsidRPr="00B1245B">
        <w:t xml:space="preserve"> útban az erőforrás- és energiahatékonyság, illetve az energiafüggetlenség felé,</w:t>
      </w:r>
    </w:p>
    <w:p w:rsidR="0019432D" w:rsidRPr="00B1245B" w:rsidRDefault="0019432D" w:rsidP="00481EF6">
      <w:pPr>
        <w:pStyle w:val="NormlWeb"/>
        <w:jc w:val="both"/>
      </w:pPr>
      <w:r w:rsidRPr="00B1245B">
        <w:rPr>
          <w:i/>
          <w:iCs/>
        </w:rPr>
        <w:t>d)</w:t>
      </w:r>
      <w:r w:rsidRPr="00B1245B">
        <w:t xml:space="preserve"> népesedési és közösségi fordulat,</w:t>
      </w:r>
    </w:p>
    <w:p w:rsidR="0019432D" w:rsidRPr="00B1245B" w:rsidRDefault="0019432D" w:rsidP="00481EF6">
      <w:pPr>
        <w:pStyle w:val="NormlWeb"/>
        <w:jc w:val="both"/>
      </w:pPr>
      <w:proofErr w:type="gramStart"/>
      <w:r w:rsidRPr="00B1245B">
        <w:rPr>
          <w:i/>
          <w:iCs/>
        </w:rPr>
        <w:t>e</w:t>
      </w:r>
      <w:proofErr w:type="gramEnd"/>
      <w:r w:rsidRPr="00B1245B">
        <w:rPr>
          <w:i/>
          <w:iCs/>
        </w:rPr>
        <w:t>)</w:t>
      </w:r>
      <w:r w:rsidRPr="00B1245B">
        <w:t xml:space="preserve"> területi integráció, térségi és helyi fejlesztések a helyi gazdaság bázisán.</w:t>
      </w:r>
    </w:p>
    <w:p w:rsidR="00DD414C" w:rsidRPr="00B1245B" w:rsidRDefault="00DD414C" w:rsidP="00DD414C">
      <w:pPr>
        <w:spacing w:before="100" w:beforeAutospacing="1" w:after="100" w:afterAutospacing="1" w:line="240" w:lineRule="auto"/>
        <w:jc w:val="both"/>
        <w:rPr>
          <w:rFonts w:ascii="Times New Roman" w:hAnsi="Times New Roman"/>
          <w:b/>
          <w:sz w:val="24"/>
          <w:szCs w:val="24"/>
          <w:lang w:val="hu-HU"/>
        </w:rPr>
      </w:pPr>
      <w:r w:rsidRPr="00B1245B">
        <w:rPr>
          <w:rFonts w:ascii="Times New Roman" w:hAnsi="Times New Roman"/>
          <w:b/>
          <w:sz w:val="24"/>
          <w:szCs w:val="24"/>
          <w:lang w:val="hu-HU"/>
        </w:rPr>
        <w:t xml:space="preserve">1058/2014. (II. 11.) Korm. határozat a </w:t>
      </w:r>
      <w:r w:rsidRPr="00B1245B">
        <w:rPr>
          <w:rStyle w:val="Kiemels2"/>
          <w:rFonts w:ascii="Times New Roman" w:hAnsi="Times New Roman"/>
          <w:sz w:val="24"/>
          <w:szCs w:val="24"/>
          <w:lang w:val="hu-HU"/>
        </w:rPr>
        <w:t>„Társadalmi és gazdasági felzárkózás által vezérelt térségi integrált program”</w:t>
      </w:r>
      <w:r w:rsidRPr="00B1245B">
        <w:rPr>
          <w:rStyle w:val="Kiemels2"/>
          <w:rFonts w:ascii="Times New Roman" w:hAnsi="Times New Roman"/>
          <w:b w:val="0"/>
          <w:sz w:val="24"/>
          <w:szCs w:val="24"/>
          <w:lang w:val="hu-HU"/>
        </w:rPr>
        <w:t xml:space="preserve"> </w:t>
      </w:r>
      <w:r w:rsidRPr="00B1245B">
        <w:rPr>
          <w:rFonts w:ascii="Times New Roman" w:hAnsi="Times New Roman"/>
          <w:b/>
          <w:sz w:val="24"/>
          <w:szCs w:val="24"/>
          <w:lang w:val="hu-HU"/>
        </w:rPr>
        <w:t>megtervezéséhez kapcsolódó feladatokról</w:t>
      </w:r>
    </w:p>
    <w:p w:rsidR="00DD414C" w:rsidRPr="00B1245B" w:rsidRDefault="00DD414C" w:rsidP="00DD414C">
      <w:pPr>
        <w:pStyle w:val="NormlWeb"/>
        <w:jc w:val="both"/>
      </w:pPr>
      <w:r w:rsidRPr="00B1245B">
        <w:t>A Kormány</w:t>
      </w:r>
    </w:p>
    <w:p w:rsidR="00DD414C" w:rsidRPr="00B1245B" w:rsidRDefault="00DD414C" w:rsidP="00DD414C">
      <w:pPr>
        <w:pStyle w:val="NormlWeb"/>
        <w:jc w:val="both"/>
      </w:pPr>
      <w:r w:rsidRPr="00B1245B">
        <w:t>1. felhívja az emberi erőforrások miniszterét, hogy a 2. pontban meghatározott munkacsoport keretei között, az ott felsoroltak bevonásával dolgozza ki a „Társadalmi és gazdasági felzárkózás által vezérelt térségi integrált program” (a továbbiakban: program) szakmai koncepcióját a 3. pontban meghatározott alapelveknek és a 4. pontban meghatározott szempontoknak megfelelően,</w:t>
      </w:r>
    </w:p>
    <w:p w:rsidR="00DD414C" w:rsidRPr="00B1245B" w:rsidRDefault="00DD414C" w:rsidP="00DD414C">
      <w:pPr>
        <w:pStyle w:val="NormlWeb"/>
        <w:jc w:val="both"/>
      </w:pPr>
      <w:r w:rsidRPr="00B1245B">
        <w:t>2. felhívja az emberi erőforrások miniszterét, hogy a belügyminiszter, a Miniszterelnökséget vezető államtitkár, a nemzeti fejlesztési miniszter, a nemzetgazdasági miniszter, a vidékfejlesztési miniszter és az elmaradott térségeket földrajzilag lefedő megyék megyei önkormányzatai bevonásával hozzon létre szakértői munkacsoportot az e pontban felsorolt személyek által delegált képviselőkből, a program szakmai koncepciójának kidolgozása céljából,</w:t>
      </w:r>
    </w:p>
    <w:p w:rsidR="00DD414C" w:rsidRPr="00B1245B" w:rsidRDefault="00DD414C" w:rsidP="00DD414C">
      <w:pPr>
        <w:pStyle w:val="NormlWeb"/>
        <w:jc w:val="both"/>
      </w:pPr>
      <w:r w:rsidRPr="00B1245B">
        <w:t>3. egyetért azzal, hogy a program szakmai koncepciója a következő alapelveknek megfelelően kerüljön kidolgozásra:</w:t>
      </w:r>
    </w:p>
    <w:p w:rsidR="00DD414C" w:rsidRPr="00B1245B" w:rsidRDefault="00DD414C" w:rsidP="00DD414C">
      <w:pPr>
        <w:pStyle w:val="NormlWeb"/>
        <w:jc w:val="both"/>
      </w:pPr>
      <w:proofErr w:type="gramStart"/>
      <w:r w:rsidRPr="00B1245B">
        <w:rPr>
          <w:i/>
          <w:iCs/>
        </w:rPr>
        <w:t>a</w:t>
      </w:r>
      <w:proofErr w:type="gramEnd"/>
      <w:r w:rsidRPr="00B1245B">
        <w:rPr>
          <w:i/>
          <w:iCs/>
        </w:rPr>
        <w:t>)</w:t>
      </w:r>
      <w:r w:rsidRPr="00B1245B">
        <w:t xml:space="preserve"> a program egyszerre feleljen meg</w:t>
      </w:r>
    </w:p>
    <w:p w:rsidR="00DD414C" w:rsidRPr="00B1245B" w:rsidRDefault="00DD414C" w:rsidP="00DD414C">
      <w:pPr>
        <w:pStyle w:val="NormlWeb"/>
        <w:jc w:val="both"/>
      </w:pPr>
      <w:proofErr w:type="spellStart"/>
      <w:r w:rsidRPr="00B1245B">
        <w:rPr>
          <w:i/>
          <w:iCs/>
        </w:rPr>
        <w:t>aa</w:t>
      </w:r>
      <w:proofErr w:type="spellEnd"/>
      <w:r w:rsidRPr="00B1245B">
        <w:rPr>
          <w:i/>
          <w:iCs/>
        </w:rPr>
        <w:t>)</w:t>
      </w:r>
      <w:r w:rsidRPr="00B1245B">
        <w:t xml:space="preserve"> területi céljának, azaz annak, hogy 2020-ig az érintett elmaradott térségek további leszakadása lassuljon, egyes térségekben a leszakadás megálljon, továbbá a térségen belüli nagy fejlettségbeli különbségek csökkenjenek, és</w:t>
      </w:r>
    </w:p>
    <w:p w:rsidR="00DD414C" w:rsidRPr="00B1245B" w:rsidRDefault="00DD414C" w:rsidP="00DD414C">
      <w:pPr>
        <w:pStyle w:val="NormlWeb"/>
        <w:jc w:val="both"/>
      </w:pPr>
      <w:proofErr w:type="gramStart"/>
      <w:r w:rsidRPr="00B1245B">
        <w:rPr>
          <w:i/>
          <w:iCs/>
        </w:rPr>
        <w:t>ab</w:t>
      </w:r>
      <w:proofErr w:type="gramEnd"/>
      <w:r w:rsidRPr="00B1245B">
        <w:rPr>
          <w:i/>
          <w:iCs/>
        </w:rPr>
        <w:t>)</w:t>
      </w:r>
      <w:r w:rsidRPr="00B1245B">
        <w:t xml:space="preserve"> társadalmi-gazdasági céljának, azaz annak, hogy az érintett térségek foglalkoztatási szintje nőjön és a foglalkoztathatóság alapfeltételei javuljanak úgy, hogy közben a minderre vonatkozó mutatók egyetlen térségen belüli településen se romoljanak a kiindulási helyzethez képest,</w:t>
      </w:r>
    </w:p>
    <w:p w:rsidR="00DD414C" w:rsidRPr="00B1245B" w:rsidRDefault="00DD414C" w:rsidP="00DD414C">
      <w:pPr>
        <w:pStyle w:val="NormlWeb"/>
        <w:jc w:val="both"/>
      </w:pPr>
      <w:r w:rsidRPr="00B1245B">
        <w:rPr>
          <w:i/>
          <w:iCs/>
        </w:rPr>
        <w:t>b)</w:t>
      </w:r>
      <w:r w:rsidRPr="00B1245B">
        <w:t xml:space="preserve"> a tervezésnél és végrehajtásnál integrált megközelítés kerüljön alkalmazásra, amelynek keretében a halmozódó hátrányok felszámolásához össze kell hangolni a gazdaságra, a foglalkoztatásra, a szegénység csökkentésére, a közoktatásra, az egészségügyre, a lakhatási feltételekre, a szociális szolgáltatásokra és a közlekedési viszonyokra irányuló tevékenységeket, valamint törekedni kell a szinergiák kiaknázására,</w:t>
      </w:r>
    </w:p>
    <w:p w:rsidR="00DD414C" w:rsidRPr="00B1245B" w:rsidRDefault="00DD414C" w:rsidP="00DD414C">
      <w:pPr>
        <w:pStyle w:val="NormlWeb"/>
        <w:jc w:val="both"/>
      </w:pPr>
      <w:r w:rsidRPr="00B1245B">
        <w:rPr>
          <w:i/>
          <w:iCs/>
        </w:rPr>
        <w:t>c)</w:t>
      </w:r>
      <w:r w:rsidRPr="00B1245B">
        <w:t xml:space="preserve"> biztosítani szükséges a fenntarthatóságot, azaz a program járuljon hozzá azon helyi és térségi kapacitások megteremtéséhez, amelyek hosszú távon – a fejlesztési támogatásoktól függetlenül is – alapjai lehetnek az adott térség kitörésének és fejlődésének,</w:t>
      </w:r>
    </w:p>
    <w:p w:rsidR="00DD414C" w:rsidRPr="00B1245B" w:rsidRDefault="00DD414C" w:rsidP="00DD414C">
      <w:pPr>
        <w:pStyle w:val="NormlWeb"/>
        <w:jc w:val="both"/>
      </w:pPr>
      <w:r w:rsidRPr="00B1245B">
        <w:rPr>
          <w:i/>
          <w:iCs/>
        </w:rPr>
        <w:t>d)</w:t>
      </w:r>
      <w:r w:rsidRPr="00B1245B">
        <w:t xml:space="preserve"> el kell érni a rászoruló célcsoportokat és településeket, amely alatt a fizikai elérést is érteni kell, továbbá ennek keretében a legrosszabb képzettségi, foglalkoztatottsági, jövedelmi helyzetben lévők – így különösen a magyarországi romák – felzárkóztatását elő kell segíteni,</w:t>
      </w:r>
    </w:p>
    <w:p w:rsidR="00DD414C" w:rsidRPr="00B1245B" w:rsidRDefault="00DD414C" w:rsidP="00DD414C">
      <w:pPr>
        <w:pStyle w:val="NormlWeb"/>
        <w:jc w:val="both"/>
      </w:pPr>
      <w:proofErr w:type="gramStart"/>
      <w:r w:rsidRPr="00B1245B">
        <w:rPr>
          <w:i/>
          <w:iCs/>
        </w:rPr>
        <w:t>e</w:t>
      </w:r>
      <w:proofErr w:type="gramEnd"/>
      <w:r w:rsidRPr="00B1245B">
        <w:rPr>
          <w:i/>
          <w:iCs/>
        </w:rPr>
        <w:t>)</w:t>
      </w:r>
      <w:r w:rsidRPr="00B1245B">
        <w:t xml:space="preserve"> elkülönített forrásokat szükséges biztosítani a program számára az Emberi Erőforrás Fejlesztési Operatív Program, a Gazdaságfejlesztési és Innovációs Operatív Program, a Terület- és Településfejlesztési Operatív Program, a Vidékfejlesztési Program, valamint a további releváns operatív programokban,</w:t>
      </w:r>
    </w:p>
    <w:p w:rsidR="00DD414C" w:rsidRPr="00B1245B" w:rsidRDefault="00DD414C" w:rsidP="00DD414C">
      <w:pPr>
        <w:pStyle w:val="NormlWeb"/>
        <w:jc w:val="both"/>
      </w:pPr>
      <w:proofErr w:type="gramStart"/>
      <w:r w:rsidRPr="00B1245B">
        <w:rPr>
          <w:i/>
          <w:iCs/>
        </w:rPr>
        <w:t>f</w:t>
      </w:r>
      <w:proofErr w:type="gramEnd"/>
      <w:r w:rsidRPr="00B1245B">
        <w:rPr>
          <w:i/>
          <w:iCs/>
        </w:rPr>
        <w:t>)</w:t>
      </w:r>
      <w:r w:rsidRPr="00B1245B">
        <w:t xml:space="preserve"> a forrásokat a program által kezelendő kihívásokkal egyenesen arányos módon, a helyi megvalósítási kapacitásokkal számolva, a térségek között – azok fejlettsége közötti különbségeknek megfelelően – differenciáltan szükséges biztosítani,</w:t>
      </w:r>
    </w:p>
    <w:p w:rsidR="00DD414C" w:rsidRPr="00B1245B" w:rsidRDefault="00DD414C" w:rsidP="00DD414C">
      <w:pPr>
        <w:pStyle w:val="NormlWeb"/>
        <w:jc w:val="both"/>
      </w:pPr>
      <w:proofErr w:type="gramStart"/>
      <w:r w:rsidRPr="00B1245B">
        <w:rPr>
          <w:i/>
          <w:iCs/>
        </w:rPr>
        <w:t>g</w:t>
      </w:r>
      <w:proofErr w:type="gramEnd"/>
      <w:r w:rsidRPr="00B1245B">
        <w:rPr>
          <w:i/>
          <w:iCs/>
        </w:rPr>
        <w:t>)</w:t>
      </w:r>
      <w:r w:rsidRPr="00B1245B">
        <w:t xml:space="preserve"> olyan működési modellt kell kialakítani, amely egyidejűleg biztosítja az egységes szakmapolitikai követelmények és a térségi szintű igények, elvárások érvényesülését, ennek keretében biztosítani szükséges a megfelelő színvonalú központi kormányzati koordinációt és a térségi szintű tervezés és megvalósítás helyi és térségi szereplőknél tartását,</w:t>
      </w:r>
    </w:p>
    <w:p w:rsidR="00DD414C" w:rsidRPr="00B1245B" w:rsidRDefault="00DD414C" w:rsidP="00DD414C">
      <w:pPr>
        <w:pStyle w:val="NormlWeb"/>
        <w:jc w:val="both"/>
      </w:pPr>
      <w:proofErr w:type="gramStart"/>
      <w:r w:rsidRPr="00B1245B">
        <w:rPr>
          <w:i/>
          <w:iCs/>
        </w:rPr>
        <w:t>h</w:t>
      </w:r>
      <w:proofErr w:type="gramEnd"/>
      <w:r w:rsidRPr="00B1245B">
        <w:rPr>
          <w:i/>
          <w:iCs/>
        </w:rPr>
        <w:t>)</w:t>
      </w:r>
      <w:r w:rsidRPr="00B1245B">
        <w:t xml:space="preserve"> a helyi tervezési folyamatba be kell vonni a kirekesztett közösségek – köztük a romák – helyi képviselőit, a kirekesztett közösségek felzárkózásának szempontjait ismerő társadalmi szervezeteket és szakembereket is, továbbá támogatni kell e szereplők tervezéshez szükséges felkészítését is,</w:t>
      </w:r>
    </w:p>
    <w:p w:rsidR="00DD414C" w:rsidRPr="00B1245B" w:rsidRDefault="00DD414C" w:rsidP="00DD414C">
      <w:pPr>
        <w:pStyle w:val="NormlWeb"/>
        <w:jc w:val="both"/>
      </w:pPr>
      <w:r w:rsidRPr="00B1245B">
        <w:rPr>
          <w:i/>
          <w:iCs/>
        </w:rPr>
        <w:t>i)</w:t>
      </w:r>
      <w:r w:rsidRPr="00B1245B">
        <w:t xml:space="preserve"> az uniós támogatások általános felhasználási, eljárási – így különösen a döntéssel, a </w:t>
      </w:r>
      <w:proofErr w:type="spellStart"/>
      <w:r w:rsidRPr="00B1245B">
        <w:t>monitoringgal</w:t>
      </w:r>
      <w:proofErr w:type="spellEnd"/>
      <w:r w:rsidRPr="00B1245B">
        <w:t>, a kifizetéssel, az ellenőrzéssel és az informatikai háttérrel összefüggő – szabályai alkalmazandóak a programra azzal, hogy ki kell dolgozni a program eredményességét javító specifikumokat is különösen az irányítás, a projektkiválasztás és az egyszerűsített költségelszámolás szélesebb körű alkalmazása területén,</w:t>
      </w:r>
    </w:p>
    <w:p w:rsidR="00DD414C" w:rsidRPr="00B1245B" w:rsidRDefault="00DD414C" w:rsidP="00DD414C">
      <w:pPr>
        <w:pStyle w:val="NormlWeb"/>
        <w:jc w:val="both"/>
      </w:pPr>
      <w:r w:rsidRPr="00B1245B">
        <w:rPr>
          <w:i/>
          <w:iCs/>
        </w:rPr>
        <w:t>j)</w:t>
      </w:r>
      <w:r w:rsidRPr="00B1245B">
        <w:t xml:space="preserve"> úgy kell kialakítani a program szakmai és projektszintű nyomon követését, hogy az képes legyen időszerűen és hatékonyan beavatkozni az előzetesen elvárt eredményektől való eltérés esetén,</w:t>
      </w:r>
    </w:p>
    <w:p w:rsidR="00DD414C" w:rsidRPr="00B1245B" w:rsidRDefault="00DD414C" w:rsidP="00DD414C">
      <w:pPr>
        <w:pStyle w:val="NormlWeb"/>
        <w:jc w:val="both"/>
      </w:pPr>
      <w:r w:rsidRPr="00B1245B">
        <w:t>4. egyetért azzal, hogy a program szakmai koncepciója</w:t>
      </w:r>
    </w:p>
    <w:p w:rsidR="00DD414C" w:rsidRPr="00B1245B" w:rsidRDefault="00DD414C" w:rsidP="00DD414C">
      <w:pPr>
        <w:pStyle w:val="NormlWeb"/>
        <w:jc w:val="both"/>
      </w:pPr>
      <w:proofErr w:type="gramStart"/>
      <w:r w:rsidRPr="00B1245B">
        <w:rPr>
          <w:i/>
          <w:iCs/>
        </w:rPr>
        <w:t>a</w:t>
      </w:r>
      <w:proofErr w:type="gramEnd"/>
      <w:r w:rsidRPr="00B1245B">
        <w:rPr>
          <w:i/>
          <w:iCs/>
        </w:rPr>
        <w:t>)</w:t>
      </w:r>
      <w:r w:rsidRPr="00B1245B">
        <w:t xml:space="preserve"> igazodjon a Magyar Nemzeti Társadalmi Felzárkózási Stratégia II. célkitűzéseihez,</w:t>
      </w:r>
    </w:p>
    <w:p w:rsidR="00DD414C" w:rsidRPr="00B1245B" w:rsidRDefault="00DD414C" w:rsidP="00DD414C">
      <w:pPr>
        <w:pStyle w:val="NormlWeb"/>
        <w:jc w:val="both"/>
      </w:pPr>
      <w:r w:rsidRPr="00B1245B">
        <w:rPr>
          <w:i/>
          <w:iCs/>
        </w:rPr>
        <w:t>b)</w:t>
      </w:r>
      <w:r w:rsidRPr="00B1245B">
        <w:t xml:space="preserve"> olyan formában kerüljön kidolgozásra, hogy a 2014–2020 közötti programozási időszakban európai uniós támogatásból kerülhessen megvalósításra, és</w:t>
      </w:r>
    </w:p>
    <w:p w:rsidR="00DD414C" w:rsidRPr="00B1245B" w:rsidRDefault="00DD414C" w:rsidP="00DD414C">
      <w:pPr>
        <w:pStyle w:val="NormlWeb"/>
        <w:jc w:val="both"/>
      </w:pPr>
      <w:r w:rsidRPr="00B1245B">
        <w:rPr>
          <w:i/>
          <w:iCs/>
        </w:rPr>
        <w:t>c)</w:t>
      </w:r>
      <w:r w:rsidRPr="00B1245B">
        <w:t xml:space="preserve"> terjedjen ki</w:t>
      </w:r>
    </w:p>
    <w:p w:rsidR="00DD414C" w:rsidRPr="00B1245B" w:rsidRDefault="00DD414C" w:rsidP="00DD414C">
      <w:pPr>
        <w:pStyle w:val="NormlWeb"/>
        <w:jc w:val="both"/>
      </w:pPr>
      <w:proofErr w:type="spellStart"/>
      <w:r w:rsidRPr="00B1245B">
        <w:rPr>
          <w:i/>
          <w:iCs/>
        </w:rPr>
        <w:t>ca</w:t>
      </w:r>
      <w:proofErr w:type="spellEnd"/>
      <w:r w:rsidRPr="00B1245B">
        <w:rPr>
          <w:i/>
          <w:iCs/>
        </w:rPr>
        <w:t>)</w:t>
      </w:r>
      <w:r w:rsidRPr="00B1245B">
        <w:t xml:space="preserve"> a program szakmai tartalmára,</w:t>
      </w:r>
    </w:p>
    <w:p w:rsidR="00DD414C" w:rsidRPr="00B1245B" w:rsidRDefault="00DD414C" w:rsidP="00DD414C">
      <w:pPr>
        <w:pStyle w:val="NormlWeb"/>
        <w:jc w:val="both"/>
      </w:pPr>
      <w:proofErr w:type="spellStart"/>
      <w:r w:rsidRPr="00B1245B">
        <w:rPr>
          <w:i/>
          <w:iCs/>
        </w:rPr>
        <w:t>cb</w:t>
      </w:r>
      <w:proofErr w:type="spellEnd"/>
      <w:r w:rsidRPr="00B1245B">
        <w:rPr>
          <w:i/>
          <w:iCs/>
        </w:rPr>
        <w:t>)</w:t>
      </w:r>
      <w:r w:rsidRPr="00B1245B">
        <w:t xml:space="preserve"> a programban résztvevő térségek körére,</w:t>
      </w:r>
    </w:p>
    <w:p w:rsidR="00DD414C" w:rsidRPr="00B1245B" w:rsidRDefault="00DD414C" w:rsidP="00DD414C">
      <w:pPr>
        <w:pStyle w:val="NormlWeb"/>
        <w:jc w:val="both"/>
      </w:pPr>
      <w:proofErr w:type="spellStart"/>
      <w:r w:rsidRPr="00B1245B">
        <w:rPr>
          <w:i/>
          <w:iCs/>
        </w:rPr>
        <w:t>cc</w:t>
      </w:r>
      <w:proofErr w:type="spellEnd"/>
      <w:r w:rsidRPr="00B1245B">
        <w:rPr>
          <w:i/>
          <w:iCs/>
        </w:rPr>
        <w:t>)</w:t>
      </w:r>
      <w:r w:rsidRPr="00B1245B">
        <w:t xml:space="preserve"> a program intézményi hátterére és eljárási szabályaira, finanszírozásának módjára és ezzel összefüggésben az egyes operatív programok hozzájárulására, továbbá</w:t>
      </w:r>
    </w:p>
    <w:p w:rsidR="00DD414C" w:rsidRPr="00B1245B" w:rsidRDefault="00DD414C" w:rsidP="00DD414C">
      <w:pPr>
        <w:pStyle w:val="NormlWeb"/>
        <w:jc w:val="both"/>
      </w:pPr>
      <w:proofErr w:type="gramStart"/>
      <w:r w:rsidRPr="00B1245B">
        <w:rPr>
          <w:i/>
          <w:iCs/>
        </w:rPr>
        <w:t>cd</w:t>
      </w:r>
      <w:proofErr w:type="gramEnd"/>
      <w:r w:rsidRPr="00B1245B">
        <w:rPr>
          <w:i/>
          <w:iCs/>
        </w:rPr>
        <w:t>)</w:t>
      </w:r>
      <w:r w:rsidRPr="00B1245B">
        <w:t xml:space="preserve"> a program monitoring rendszerére,</w:t>
      </w:r>
    </w:p>
    <w:p w:rsidR="00DD414C" w:rsidRPr="00B1245B" w:rsidRDefault="00DD414C" w:rsidP="00DD414C">
      <w:pPr>
        <w:pStyle w:val="NormlWeb"/>
        <w:jc w:val="both"/>
      </w:pPr>
      <w:r w:rsidRPr="00B1245B">
        <w:t>5. felhívja a nemzetgazdasági minisztert, a nemzeti fejlesztési minisztert, a vidékfejlesztési minisztert, az emberi erőforrások miniszterét és a Miniszterelnökséget vezető államtitkárt, hogy tegyenek javaslatot az általuk felügyelt operatív program programhoz történő pénzügyi hozzájárulására, és gondoskodjanak a kidolgozásra kerülő program egyes elemeinek a felelősségi körükbe tartozó operatív programokba történő illesztéséről.</w:t>
      </w:r>
    </w:p>
    <w:p w:rsidR="00D712A3" w:rsidRPr="00B1245B" w:rsidRDefault="00481EF6" w:rsidP="00481EF6">
      <w:pPr>
        <w:spacing w:before="100" w:beforeAutospacing="1" w:after="100" w:afterAutospacing="1" w:line="240" w:lineRule="auto"/>
        <w:jc w:val="both"/>
        <w:rPr>
          <w:rFonts w:ascii="Times New Roman" w:hAnsi="Times New Roman"/>
          <w:b/>
          <w:sz w:val="24"/>
          <w:szCs w:val="24"/>
          <w:lang w:val="hu-HU" w:eastAsia="hu-HU"/>
        </w:rPr>
      </w:pPr>
      <w:r w:rsidRPr="00B1245B">
        <w:rPr>
          <w:rFonts w:ascii="Times New Roman" w:hAnsi="Times New Roman"/>
          <w:b/>
          <w:sz w:val="24"/>
          <w:szCs w:val="24"/>
          <w:lang w:val="hu-HU" w:eastAsia="hu-HU"/>
        </w:rPr>
        <w:t>1085/2014. (II. 28.) Korm. határozat a közreműködő szervezetek útján ellátott feladatokkal kapcsolatos egyes koncepcionális kérdésekről</w:t>
      </w:r>
    </w:p>
    <w:p w:rsidR="00DD414C" w:rsidRPr="00B1245B" w:rsidRDefault="00DD414C" w:rsidP="00DD414C">
      <w:pPr>
        <w:spacing w:before="100" w:beforeAutospacing="1" w:after="100" w:afterAutospacing="1" w:line="240" w:lineRule="auto"/>
        <w:jc w:val="both"/>
        <w:rPr>
          <w:rStyle w:val="Kiemels2"/>
          <w:rFonts w:ascii="Times New Roman" w:hAnsi="Times New Roman"/>
          <w:sz w:val="24"/>
          <w:szCs w:val="24"/>
          <w:lang w:val="hu-HU"/>
        </w:rPr>
      </w:pPr>
      <w:r w:rsidRPr="00B1245B">
        <w:rPr>
          <w:rFonts w:ascii="Times New Roman" w:hAnsi="Times New Roman"/>
          <w:b/>
          <w:sz w:val="24"/>
          <w:szCs w:val="24"/>
          <w:lang w:val="hu-HU"/>
        </w:rPr>
        <w:t>1298/2014. (V. 5.) Korm. határozat a</w:t>
      </w:r>
      <w:r w:rsidRPr="00B1245B">
        <w:rPr>
          <w:rFonts w:ascii="Times New Roman" w:hAnsi="Times New Roman"/>
          <w:sz w:val="24"/>
          <w:szCs w:val="24"/>
          <w:lang w:val="hu-HU"/>
        </w:rPr>
        <w:t xml:space="preserve"> </w:t>
      </w:r>
      <w:r w:rsidRPr="00B1245B">
        <w:rPr>
          <w:rStyle w:val="Kiemels2"/>
          <w:rFonts w:ascii="Times New Roman" w:hAnsi="Times New Roman"/>
          <w:sz w:val="24"/>
          <w:szCs w:val="24"/>
          <w:lang w:val="hu-HU"/>
        </w:rPr>
        <w:t>2014–2020 közötti időszakban a Terület- és Településfejlesztési Operatív Program tervezésének egyes szempontjairól</w:t>
      </w:r>
      <w:r w:rsidRPr="00B1245B">
        <w:rPr>
          <w:rFonts w:ascii="Times New Roman" w:hAnsi="Times New Roman"/>
          <w:sz w:val="24"/>
          <w:szCs w:val="24"/>
          <w:lang w:val="hu-HU"/>
        </w:rPr>
        <w:t xml:space="preserve">, </w:t>
      </w:r>
      <w:r w:rsidRPr="00B1245B">
        <w:rPr>
          <w:rFonts w:ascii="Times New Roman" w:hAnsi="Times New Roman"/>
          <w:b/>
          <w:sz w:val="24"/>
          <w:szCs w:val="24"/>
          <w:lang w:val="hu-HU"/>
        </w:rPr>
        <w:t xml:space="preserve">valamint az operatív programhoz tartozó </w:t>
      </w:r>
      <w:r w:rsidRPr="00B1245B">
        <w:rPr>
          <w:rStyle w:val="Kiemels2"/>
          <w:rFonts w:ascii="Times New Roman" w:hAnsi="Times New Roman"/>
          <w:sz w:val="24"/>
          <w:szCs w:val="24"/>
          <w:lang w:val="hu-HU"/>
        </w:rPr>
        <w:t>megyék megyei önkormányzatai és a megyei jogú városok önkormányzatai tervezési jogkörébe utalt források megoszlásáról</w:t>
      </w:r>
    </w:p>
    <w:p w:rsidR="00DD414C" w:rsidRPr="00B1245B" w:rsidRDefault="00DD414C" w:rsidP="00DD414C">
      <w:pPr>
        <w:pStyle w:val="NormlWeb"/>
        <w:jc w:val="both"/>
      </w:pPr>
      <w:r w:rsidRPr="00B1245B">
        <w:t>A Kormány</w:t>
      </w:r>
    </w:p>
    <w:p w:rsidR="00DD414C" w:rsidRPr="00B1245B" w:rsidRDefault="00DD414C" w:rsidP="00DD414C">
      <w:pPr>
        <w:pStyle w:val="NormlWeb"/>
        <w:jc w:val="both"/>
      </w:pPr>
      <w:r w:rsidRPr="00B1245B">
        <w:t xml:space="preserve">1. egyetért azzal, hogy a Terület- és Településfejlesztési Operatív Programhoz (a továbbiakban: TOP) tartozó megyékben megvalósuló decentralizált fejlesztések tervezése során a 2014–2020 közötti európai uniós fejlesztési források felhasználásának tervezésével és intézményrendszerének kialakításával összefüggő aktuális feladatokról szóló 1600/2012. (XII. 17.) Korm. határozat 1. pont </w:t>
      </w:r>
      <w:r w:rsidRPr="00B1245B">
        <w:rPr>
          <w:i/>
          <w:iCs/>
        </w:rPr>
        <w:t>h)</w:t>
      </w:r>
      <w:r w:rsidRPr="00B1245B">
        <w:t xml:space="preserve"> alpontjában a gazdaságfejlesztésre meghatározott arányú forráskeret 26,9%-a kerüljön keretként meghatározásra,</w:t>
      </w:r>
    </w:p>
    <w:p w:rsidR="00DD414C" w:rsidRPr="00B1245B" w:rsidRDefault="00DD414C" w:rsidP="00DD414C">
      <w:pPr>
        <w:pStyle w:val="NormlWeb"/>
        <w:jc w:val="both"/>
      </w:pPr>
      <w:r w:rsidRPr="00B1245B">
        <w:t xml:space="preserve">2. egyetért azzal, hogy a </w:t>
      </w:r>
      <w:proofErr w:type="spellStart"/>
      <w:r w:rsidRPr="00B1245B">
        <w:t>TOP-ban</w:t>
      </w:r>
      <w:proofErr w:type="spellEnd"/>
      <w:r w:rsidRPr="00B1245B">
        <w:t xml:space="preserve"> a decentralizált források tervezése integrált programok kialakításával a következő három területi szinten valósuljon meg:</w:t>
      </w:r>
    </w:p>
    <w:p w:rsidR="00DD414C" w:rsidRPr="00B1245B" w:rsidRDefault="00DD414C" w:rsidP="00DD414C">
      <w:pPr>
        <w:pStyle w:val="NormlWeb"/>
        <w:jc w:val="both"/>
      </w:pPr>
      <w:proofErr w:type="gramStart"/>
      <w:r w:rsidRPr="00B1245B">
        <w:rPr>
          <w:i/>
          <w:iCs/>
        </w:rPr>
        <w:t>a</w:t>
      </w:r>
      <w:proofErr w:type="gramEnd"/>
      <w:r w:rsidRPr="00B1245B">
        <w:rPr>
          <w:i/>
          <w:iCs/>
        </w:rPr>
        <w:t>)</w:t>
      </w:r>
      <w:r w:rsidRPr="00B1245B">
        <w:t xml:space="preserve"> megyei szint,</w:t>
      </w:r>
    </w:p>
    <w:p w:rsidR="00DD414C" w:rsidRPr="00B1245B" w:rsidRDefault="00DD414C" w:rsidP="00DD414C">
      <w:pPr>
        <w:pStyle w:val="NormlWeb"/>
        <w:jc w:val="both"/>
      </w:pPr>
      <w:r w:rsidRPr="00B1245B">
        <w:rPr>
          <w:i/>
          <w:iCs/>
        </w:rPr>
        <w:t>b)</w:t>
      </w:r>
      <w:r w:rsidRPr="00B1245B">
        <w:t xml:space="preserve"> megyei jogú város szintje, valamint</w:t>
      </w:r>
    </w:p>
    <w:p w:rsidR="00DD414C" w:rsidRPr="00B1245B" w:rsidRDefault="00DD414C" w:rsidP="00DD414C">
      <w:pPr>
        <w:pStyle w:val="NormlWeb"/>
        <w:jc w:val="both"/>
      </w:pPr>
      <w:r w:rsidRPr="00B1245B">
        <w:rPr>
          <w:i/>
          <w:iCs/>
        </w:rPr>
        <w:t>c)</w:t>
      </w:r>
      <w:r w:rsidRPr="00B1245B">
        <w:t xml:space="preserve"> várostérség és megyei jogú város térségének szintje,</w:t>
      </w:r>
    </w:p>
    <w:p w:rsidR="00DD414C" w:rsidRPr="00B1245B" w:rsidRDefault="00DD414C" w:rsidP="00DD414C">
      <w:pPr>
        <w:pStyle w:val="NormlWeb"/>
        <w:jc w:val="both"/>
      </w:pPr>
      <w:proofErr w:type="gramStart"/>
      <w:r w:rsidRPr="00B1245B">
        <w:t>figyelembe</w:t>
      </w:r>
      <w:proofErr w:type="gramEnd"/>
      <w:r w:rsidRPr="00B1245B">
        <w:t xml:space="preserve"> véve a kohéziós politikai kereteket és a Partnerségi Megállapodás tervezetében rögzítetteket,</w:t>
      </w:r>
    </w:p>
    <w:p w:rsidR="00DD414C" w:rsidRPr="00B1245B" w:rsidRDefault="00DD414C" w:rsidP="00DD414C">
      <w:pPr>
        <w:pStyle w:val="NormlWeb"/>
        <w:jc w:val="both"/>
      </w:pPr>
      <w:r w:rsidRPr="00B1245B">
        <w:t>3. egyetért azzal, hogy a TOP keretében a 2. pont szerint folyó tervezés összehangolásában a megyei önkormányzatok koordinációs szerepet töltsenek be,</w:t>
      </w:r>
    </w:p>
    <w:p w:rsidR="00DD414C" w:rsidRPr="00B1245B" w:rsidRDefault="00DD414C" w:rsidP="00DD414C">
      <w:pPr>
        <w:pStyle w:val="NormlWeb"/>
        <w:jc w:val="both"/>
      </w:pPr>
      <w:r w:rsidRPr="00B1245B">
        <w:t>4. egyetért azzal, hogy a megyei szintű programmal összefüggő tervezési feladatokat a megyei önkormányzatok végezzék el a TOP által meghatározott keretek között,</w:t>
      </w:r>
    </w:p>
    <w:p w:rsidR="00DD414C" w:rsidRPr="00B1245B" w:rsidRDefault="00DD414C" w:rsidP="00DD414C">
      <w:pPr>
        <w:pStyle w:val="NormlWeb"/>
        <w:jc w:val="both"/>
      </w:pPr>
      <w:r w:rsidRPr="00B1245B">
        <w:t>5. egyetért azzal, hogy a 4. pontban hivatkozott megyei programok indikatív forráskerete összesen 450 milliárd forint legyen az 1. mellékletben meghatározott, megyék közötti indikatív megoszlás szerint,</w:t>
      </w:r>
    </w:p>
    <w:p w:rsidR="00DD414C" w:rsidRPr="00B1245B" w:rsidRDefault="00DD414C" w:rsidP="00DD414C">
      <w:pPr>
        <w:pStyle w:val="NormlWeb"/>
        <w:jc w:val="both"/>
      </w:pPr>
      <w:r w:rsidRPr="00B1245B">
        <w:t>6. egyetért azzal, hogy a várostérség és a megyei jogú város térsége szintjének területi meghatározása a járások alapján történjen,</w:t>
      </w:r>
    </w:p>
    <w:p w:rsidR="00DD414C" w:rsidRPr="00B1245B" w:rsidRDefault="00DD414C" w:rsidP="00DD414C">
      <w:pPr>
        <w:pStyle w:val="NormlWeb"/>
        <w:jc w:val="both"/>
      </w:pPr>
      <w:r w:rsidRPr="00B1245B">
        <w:t>7. egyetért azzal, hogy a megyei jogú város térségében tervezett fejlesztések illeszkedjenek a megyei jogú város integrált településfejlesztési stratégiájában megfogalmazott fejlesztési irányokhoz, a TOP által meghatározott keretek között,</w:t>
      </w:r>
    </w:p>
    <w:p w:rsidR="00DD414C" w:rsidRPr="00B1245B" w:rsidRDefault="00DD414C" w:rsidP="00DD414C">
      <w:pPr>
        <w:pStyle w:val="NormlWeb"/>
        <w:jc w:val="both"/>
      </w:pPr>
      <w:r w:rsidRPr="00B1245B">
        <w:t>8. egyetért azzal, hogy a várostérségek és a megyei jogú városok térségének fejlesztésével összefüggő tervezési feladatokat a megyei önkormányzatok végezzék el az érintett települési önkormányzatok bevonásával, a TOP által meghatározott keretek között,</w:t>
      </w:r>
    </w:p>
    <w:p w:rsidR="00DD414C" w:rsidRPr="00B1245B" w:rsidRDefault="00DD414C" w:rsidP="00DD414C">
      <w:pPr>
        <w:pStyle w:val="NormlWeb"/>
        <w:jc w:val="both"/>
      </w:pPr>
      <w:r w:rsidRPr="00B1245B">
        <w:t>9. egyetért azzal, hogy a megyei jogú városokkal összefüggő programok indikatív forráskerete összesen 364,61 milliárd forint legyen azzal, hogy ezen összeg megyei jogú városok közötti indikatív megoszlását a 2. melléklet szerint határozza meg,</w:t>
      </w:r>
    </w:p>
    <w:p w:rsidR="00DD414C" w:rsidRPr="00B1245B" w:rsidRDefault="00DD414C" w:rsidP="00DD414C">
      <w:pPr>
        <w:pStyle w:val="NormlWeb"/>
        <w:jc w:val="both"/>
      </w:pPr>
      <w:r w:rsidRPr="00B1245B">
        <w:t>10. egyetért azzal, hogy a 8. pontban hivatkozott várostérségek és megyei jogú városok térségeit érintő fejlesztések indikatív forráskerete összesen 298,08 milliárd forint legyen azzal, hogy ezen összegnek a várostérségek és a megyei jogú városok térségei közötti indikatív megoszlását a 3. melléklet szerint határozza meg,</w:t>
      </w:r>
    </w:p>
    <w:p w:rsidR="00DD414C" w:rsidRPr="00B1245B" w:rsidRDefault="00DD414C" w:rsidP="00DD414C">
      <w:pPr>
        <w:pStyle w:val="NormlWeb"/>
        <w:jc w:val="both"/>
      </w:pPr>
      <w:r w:rsidRPr="00B1245B">
        <w:t>11. egyetért azzal, hogy a megyei önkormányzatok a várostérségek és a megyei jogú városok térségének fejlesztése során a 3. mellékletben meghatározott várostérségek és megyei jogú városok térségeinek forráskeretétől a megyei területfejlesztési koncepcióban és programban megfogalmazott célkitűzések megvalósítása, valamint a hátrányos helyzetű térségek felzárkóztatása érdekében tíz százalékkal eltérhetnek a 3. mellékletben a várostérségek és megyei jogú városok térségeinek meghatározott forráskereteitől a megye összes forráskeretén belül,</w:t>
      </w:r>
    </w:p>
    <w:p w:rsidR="00DD414C" w:rsidRPr="00B1245B" w:rsidRDefault="00DD414C" w:rsidP="00DD414C">
      <w:pPr>
        <w:pStyle w:val="NormlWeb"/>
        <w:jc w:val="both"/>
      </w:pPr>
      <w:r w:rsidRPr="00B1245B">
        <w:t>12. egyetért azzal, hogy helyi szinten 44,28 milliárd forint kerüljön szétosztásra közösségvezérelt helyi fejlesztésekre (CLLD eszköz),</w:t>
      </w:r>
    </w:p>
    <w:p w:rsidR="00DD414C" w:rsidRPr="00B1245B" w:rsidRDefault="00DD414C" w:rsidP="00DD414C">
      <w:pPr>
        <w:pStyle w:val="NormlWeb"/>
        <w:jc w:val="both"/>
      </w:pPr>
      <w:r w:rsidRPr="00B1245B">
        <w:t>13. felhívja a nemzetgazdasági minisztert, hogy az 1–12. pontban foglaltakat a TOP kidolgozása és az Európai Bizottsággal való megtárgyalása során vegye alapul.</w:t>
      </w:r>
    </w:p>
    <w:p w:rsidR="00DD414C" w:rsidRPr="00B1245B" w:rsidRDefault="00DD414C" w:rsidP="00DD414C">
      <w:pPr>
        <w:spacing w:before="100" w:beforeAutospacing="1" w:after="100" w:afterAutospacing="1" w:line="240" w:lineRule="auto"/>
        <w:jc w:val="both"/>
        <w:rPr>
          <w:rFonts w:ascii="Times New Roman" w:hAnsi="Times New Roman"/>
          <w:b/>
          <w:bCs/>
          <w:sz w:val="24"/>
          <w:szCs w:val="24"/>
          <w:lang w:val="hu-HU" w:eastAsia="hu-HU" w:bidi="ar-SA"/>
        </w:rPr>
      </w:pPr>
      <w:r w:rsidRPr="00B1245B">
        <w:rPr>
          <w:rFonts w:ascii="Times New Roman" w:hAnsi="Times New Roman"/>
          <w:b/>
          <w:bCs/>
          <w:sz w:val="24"/>
          <w:szCs w:val="24"/>
          <w:lang w:val="hu-HU" w:eastAsia="hu-HU" w:bidi="ar-SA"/>
        </w:rPr>
        <w:t>A megyei önkormányzatok tervezési jogkörében készülő megyei szintű fejlesztési programok forrásainak indikatív, megyék közöt</w:t>
      </w:r>
      <w:r w:rsidR="00CA14B5" w:rsidRPr="00B1245B">
        <w:rPr>
          <w:rFonts w:ascii="Times New Roman" w:hAnsi="Times New Roman"/>
          <w:b/>
          <w:bCs/>
          <w:sz w:val="24"/>
          <w:szCs w:val="24"/>
          <w:lang w:val="hu-HU" w:eastAsia="hu-HU" w:bidi="ar-SA"/>
        </w:rPr>
        <w:t>ti megoszlása tekintetében Békés</w:t>
      </w:r>
      <w:r w:rsidRPr="00B1245B">
        <w:rPr>
          <w:rFonts w:ascii="Times New Roman" w:hAnsi="Times New Roman"/>
          <w:b/>
          <w:bCs/>
          <w:sz w:val="24"/>
          <w:szCs w:val="24"/>
          <w:lang w:val="hu-HU" w:eastAsia="hu-HU" w:bidi="ar-SA"/>
        </w:rPr>
        <w:t xml:space="preserve"> megye </w:t>
      </w:r>
      <w:r w:rsidR="00CA14B5" w:rsidRPr="00B1245B">
        <w:rPr>
          <w:rFonts w:ascii="Times New Roman" w:hAnsi="Times New Roman"/>
          <w:b/>
          <w:bCs/>
          <w:sz w:val="24"/>
          <w:szCs w:val="24"/>
          <w:lang w:val="hu-HU" w:eastAsia="hu-HU" w:bidi="ar-SA"/>
        </w:rPr>
        <w:t>számára allokált forrás 17,3963 Mrd</w:t>
      </w:r>
      <w:r w:rsidRPr="00B1245B">
        <w:rPr>
          <w:rFonts w:ascii="Times New Roman" w:hAnsi="Times New Roman"/>
          <w:b/>
          <w:bCs/>
          <w:sz w:val="24"/>
          <w:szCs w:val="24"/>
          <w:lang w:val="hu-HU" w:eastAsia="hu-HU" w:bidi="ar-SA"/>
        </w:rPr>
        <w:t xml:space="preserve"> Ft. Míg a megye járásai számára meghatározott indikatív forráskeret az alábbi: </w:t>
      </w:r>
    </w:p>
    <w:tbl>
      <w:tblPr>
        <w:tblStyle w:val="Rcsostblzat"/>
        <w:tblW w:w="0" w:type="auto"/>
        <w:tblLook w:val="04A0"/>
      </w:tblPr>
      <w:tblGrid>
        <w:gridCol w:w="3369"/>
        <w:gridCol w:w="2976"/>
      </w:tblGrid>
      <w:tr w:rsidR="00DD414C" w:rsidRPr="00B1245B" w:rsidTr="00CE288E">
        <w:tc>
          <w:tcPr>
            <w:tcW w:w="3369" w:type="dxa"/>
          </w:tcPr>
          <w:p w:rsidR="00DD414C" w:rsidRPr="00B1245B" w:rsidRDefault="00DD414C" w:rsidP="00DD414C">
            <w:pPr>
              <w:spacing w:before="100" w:beforeAutospacing="1" w:after="100" w:afterAutospacing="1" w:line="240" w:lineRule="auto"/>
              <w:jc w:val="both"/>
              <w:rPr>
                <w:rFonts w:ascii="Times New Roman" w:hAnsi="Times New Roman"/>
                <w:b/>
                <w:bCs/>
                <w:sz w:val="24"/>
                <w:szCs w:val="24"/>
                <w:lang w:val="hu-HU" w:eastAsia="hu-HU" w:bidi="ar-SA"/>
              </w:rPr>
            </w:pPr>
            <w:r w:rsidRPr="00B1245B">
              <w:rPr>
                <w:rFonts w:ascii="Times New Roman" w:hAnsi="Times New Roman"/>
                <w:b/>
                <w:bCs/>
                <w:sz w:val="24"/>
                <w:szCs w:val="24"/>
                <w:lang w:val="hu-HU" w:eastAsia="hu-HU" w:bidi="ar-SA"/>
              </w:rPr>
              <w:t>Járás megnevezése</w:t>
            </w:r>
          </w:p>
        </w:tc>
        <w:tc>
          <w:tcPr>
            <w:tcW w:w="2976" w:type="dxa"/>
          </w:tcPr>
          <w:p w:rsidR="00DD414C" w:rsidRPr="00B1245B" w:rsidRDefault="00DD414C" w:rsidP="00DD414C">
            <w:pPr>
              <w:spacing w:before="100" w:beforeAutospacing="1" w:after="100" w:afterAutospacing="1" w:line="240" w:lineRule="auto"/>
              <w:jc w:val="both"/>
              <w:rPr>
                <w:rFonts w:ascii="Times New Roman" w:hAnsi="Times New Roman"/>
                <w:b/>
                <w:bCs/>
                <w:sz w:val="24"/>
                <w:szCs w:val="24"/>
                <w:lang w:val="hu-HU" w:eastAsia="hu-HU" w:bidi="ar-SA"/>
              </w:rPr>
            </w:pPr>
            <w:r w:rsidRPr="00B1245B">
              <w:rPr>
                <w:rFonts w:ascii="Times New Roman" w:hAnsi="Times New Roman"/>
                <w:b/>
                <w:bCs/>
                <w:sz w:val="24"/>
                <w:szCs w:val="24"/>
                <w:lang w:val="hu-HU" w:eastAsia="hu-HU" w:bidi="ar-SA"/>
              </w:rPr>
              <w:t>Indikatív forrásnagyság (M Ft)</w:t>
            </w:r>
          </w:p>
        </w:tc>
      </w:tr>
      <w:tr w:rsidR="00DD414C" w:rsidRPr="00B1245B" w:rsidTr="00CE288E">
        <w:tc>
          <w:tcPr>
            <w:tcW w:w="3369" w:type="dxa"/>
            <w:vAlign w:val="center"/>
          </w:tcPr>
          <w:p w:rsidR="00DD414C" w:rsidRPr="00B1245B" w:rsidRDefault="00CE288E"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Békéscsabai</w:t>
            </w:r>
          </w:p>
        </w:tc>
        <w:tc>
          <w:tcPr>
            <w:tcW w:w="2976"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935,7</w:t>
            </w:r>
          </w:p>
        </w:tc>
      </w:tr>
      <w:tr w:rsidR="00DD414C" w:rsidRPr="00B1245B" w:rsidTr="00CE288E">
        <w:tc>
          <w:tcPr>
            <w:tcW w:w="3369" w:type="dxa"/>
            <w:vAlign w:val="center"/>
          </w:tcPr>
          <w:p w:rsidR="00DD414C" w:rsidRPr="00B1245B" w:rsidRDefault="00CE288E"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Békési</w:t>
            </w:r>
          </w:p>
        </w:tc>
        <w:tc>
          <w:tcPr>
            <w:tcW w:w="2976"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2174,3</w:t>
            </w:r>
          </w:p>
        </w:tc>
      </w:tr>
      <w:tr w:rsidR="00DD414C" w:rsidRPr="00B1245B" w:rsidTr="00CE288E">
        <w:tc>
          <w:tcPr>
            <w:tcW w:w="3369" w:type="dxa"/>
            <w:vAlign w:val="center"/>
          </w:tcPr>
          <w:p w:rsidR="00DD414C" w:rsidRPr="00B1245B" w:rsidRDefault="00CE288E"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Gyomaendrődi</w:t>
            </w:r>
          </w:p>
        </w:tc>
        <w:tc>
          <w:tcPr>
            <w:tcW w:w="2976"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1593,2</w:t>
            </w:r>
          </w:p>
        </w:tc>
      </w:tr>
      <w:tr w:rsidR="00DD414C" w:rsidRPr="00B1245B" w:rsidTr="00CE288E">
        <w:tc>
          <w:tcPr>
            <w:tcW w:w="3369" w:type="dxa"/>
            <w:vAlign w:val="center"/>
          </w:tcPr>
          <w:p w:rsidR="00DD414C" w:rsidRPr="00B1245B" w:rsidRDefault="00CE288E"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Gyulai</w:t>
            </w:r>
          </w:p>
        </w:tc>
        <w:tc>
          <w:tcPr>
            <w:tcW w:w="2976"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2363,4</w:t>
            </w:r>
          </w:p>
        </w:tc>
      </w:tr>
      <w:tr w:rsidR="00DD414C" w:rsidRPr="00B1245B" w:rsidTr="00CE288E">
        <w:tc>
          <w:tcPr>
            <w:tcW w:w="3369" w:type="dxa"/>
            <w:vAlign w:val="center"/>
          </w:tcPr>
          <w:p w:rsidR="00DD414C" w:rsidRPr="00B1245B" w:rsidRDefault="00CE288E"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Mezőkovácsházai</w:t>
            </w:r>
          </w:p>
        </w:tc>
        <w:tc>
          <w:tcPr>
            <w:tcW w:w="2976"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2320,9</w:t>
            </w:r>
          </w:p>
        </w:tc>
      </w:tr>
      <w:tr w:rsidR="00DD414C" w:rsidRPr="00B1245B" w:rsidTr="00CE288E">
        <w:tc>
          <w:tcPr>
            <w:tcW w:w="3369"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Orosház</w:t>
            </w:r>
            <w:r w:rsidR="00CE288E" w:rsidRPr="00B1245B">
              <w:rPr>
                <w:rFonts w:ascii="Times New Roman" w:hAnsi="Times New Roman"/>
                <w:sz w:val="24"/>
                <w:szCs w:val="24"/>
                <w:lang w:val="hu-HU" w:eastAsia="hu-HU" w:bidi="ar-SA"/>
              </w:rPr>
              <w:t>i</w:t>
            </w:r>
          </w:p>
        </w:tc>
        <w:tc>
          <w:tcPr>
            <w:tcW w:w="2976"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2792,9</w:t>
            </w:r>
          </w:p>
        </w:tc>
      </w:tr>
      <w:tr w:rsidR="00DD414C" w:rsidRPr="00B1245B" w:rsidTr="00CE288E">
        <w:tc>
          <w:tcPr>
            <w:tcW w:w="3369" w:type="dxa"/>
            <w:vAlign w:val="center"/>
          </w:tcPr>
          <w:p w:rsidR="00DD414C" w:rsidRPr="00B1245B" w:rsidRDefault="00CE288E"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Sarkadi</w:t>
            </w:r>
          </w:p>
        </w:tc>
        <w:tc>
          <w:tcPr>
            <w:tcW w:w="2976"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1560,3</w:t>
            </w:r>
          </w:p>
        </w:tc>
      </w:tr>
      <w:tr w:rsidR="00CE288E" w:rsidRPr="00B1245B" w:rsidTr="00CE288E">
        <w:tc>
          <w:tcPr>
            <w:tcW w:w="3369" w:type="dxa"/>
            <w:vAlign w:val="center"/>
          </w:tcPr>
          <w:p w:rsidR="00CE288E" w:rsidRPr="00B1245B" w:rsidRDefault="00CE288E"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Szarvasi</w:t>
            </w:r>
          </w:p>
        </w:tc>
        <w:tc>
          <w:tcPr>
            <w:tcW w:w="2976" w:type="dxa"/>
            <w:vAlign w:val="center"/>
          </w:tcPr>
          <w:p w:rsidR="00CE288E"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1793,5</w:t>
            </w:r>
          </w:p>
        </w:tc>
      </w:tr>
      <w:tr w:rsidR="00CE288E" w:rsidRPr="00B1245B" w:rsidTr="00CE288E">
        <w:tc>
          <w:tcPr>
            <w:tcW w:w="3369" w:type="dxa"/>
            <w:vAlign w:val="center"/>
          </w:tcPr>
          <w:p w:rsidR="00CE288E" w:rsidRPr="00B1245B" w:rsidRDefault="00CE288E"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Szeghalmi</w:t>
            </w:r>
          </w:p>
        </w:tc>
        <w:tc>
          <w:tcPr>
            <w:tcW w:w="2976" w:type="dxa"/>
            <w:vAlign w:val="center"/>
          </w:tcPr>
          <w:p w:rsidR="00CE288E"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1862,1</w:t>
            </w:r>
          </w:p>
        </w:tc>
      </w:tr>
      <w:tr w:rsidR="00DD414C" w:rsidRPr="00B1245B" w:rsidTr="00CE288E">
        <w:tc>
          <w:tcPr>
            <w:tcW w:w="3369" w:type="dxa"/>
            <w:vAlign w:val="center"/>
          </w:tcPr>
          <w:p w:rsidR="00DD414C" w:rsidRPr="00B1245B" w:rsidRDefault="00CA14B5" w:rsidP="00DD414C">
            <w:pPr>
              <w:spacing w:before="100" w:beforeAutospacing="1" w:after="100" w:afterAutospacing="1" w:line="240" w:lineRule="auto"/>
              <w:jc w:val="both"/>
              <w:rPr>
                <w:rFonts w:ascii="Times New Roman" w:hAnsi="Times New Roman"/>
                <w:i/>
                <w:sz w:val="24"/>
                <w:szCs w:val="24"/>
                <w:lang w:val="hu-HU" w:eastAsia="hu-HU" w:bidi="ar-SA"/>
              </w:rPr>
            </w:pPr>
            <w:r w:rsidRPr="00B1245B">
              <w:rPr>
                <w:rFonts w:ascii="Times New Roman" w:hAnsi="Times New Roman"/>
                <w:i/>
                <w:sz w:val="24"/>
                <w:szCs w:val="24"/>
                <w:lang w:val="hu-HU" w:eastAsia="hu-HU" w:bidi="ar-SA"/>
              </w:rPr>
              <w:t>Békés</w:t>
            </w:r>
            <w:r w:rsidR="00DD414C" w:rsidRPr="00B1245B">
              <w:rPr>
                <w:rFonts w:ascii="Times New Roman" w:hAnsi="Times New Roman"/>
                <w:i/>
                <w:sz w:val="24"/>
                <w:szCs w:val="24"/>
                <w:lang w:val="hu-HU" w:eastAsia="hu-HU" w:bidi="ar-SA"/>
              </w:rPr>
              <w:t xml:space="preserve"> megye összesen</w:t>
            </w:r>
          </w:p>
        </w:tc>
        <w:tc>
          <w:tcPr>
            <w:tcW w:w="2976" w:type="dxa"/>
            <w:vAlign w:val="center"/>
          </w:tcPr>
          <w:p w:rsidR="00DD414C" w:rsidRPr="00B1245B" w:rsidRDefault="00CA14B5" w:rsidP="00DD414C">
            <w:pPr>
              <w:spacing w:before="100" w:beforeAutospacing="1" w:after="100" w:afterAutospacing="1" w:line="240" w:lineRule="auto"/>
              <w:jc w:val="both"/>
              <w:rPr>
                <w:rFonts w:ascii="Times New Roman" w:hAnsi="Times New Roman"/>
                <w:sz w:val="24"/>
                <w:szCs w:val="24"/>
                <w:lang w:val="hu-HU" w:eastAsia="hu-HU" w:bidi="ar-SA"/>
              </w:rPr>
            </w:pPr>
            <w:r w:rsidRPr="00B1245B">
              <w:rPr>
                <w:rFonts w:ascii="Times New Roman" w:hAnsi="Times New Roman"/>
                <w:sz w:val="24"/>
                <w:szCs w:val="24"/>
                <w:lang w:val="hu-HU" w:eastAsia="hu-HU" w:bidi="ar-SA"/>
              </w:rPr>
              <w:t>17396,3</w:t>
            </w:r>
          </w:p>
        </w:tc>
      </w:tr>
    </w:tbl>
    <w:tbl>
      <w:tblPr>
        <w:tblW w:w="7395" w:type="dxa"/>
        <w:tblInd w:w="-60" w:type="dxa"/>
        <w:tblCellMar>
          <w:top w:w="15" w:type="dxa"/>
          <w:left w:w="15" w:type="dxa"/>
          <w:bottom w:w="15" w:type="dxa"/>
          <w:right w:w="15" w:type="dxa"/>
        </w:tblCellMar>
        <w:tblLook w:val="04A0"/>
      </w:tblPr>
      <w:tblGrid>
        <w:gridCol w:w="949"/>
        <w:gridCol w:w="3372"/>
        <w:gridCol w:w="1537"/>
        <w:gridCol w:w="1537"/>
      </w:tblGrid>
      <w:tr w:rsidR="00DD414C" w:rsidRPr="00B1245B" w:rsidTr="00CE288E">
        <w:tc>
          <w:tcPr>
            <w:tcW w:w="949" w:type="dxa"/>
            <w:vAlign w:val="center"/>
            <w:hideMark/>
          </w:tcPr>
          <w:p w:rsidR="00DD414C" w:rsidRPr="00B1245B" w:rsidRDefault="00DD414C" w:rsidP="00DD414C">
            <w:pPr>
              <w:spacing w:after="0" w:line="240" w:lineRule="auto"/>
              <w:jc w:val="both"/>
              <w:rPr>
                <w:rFonts w:ascii="Times New Roman" w:hAnsi="Times New Roman"/>
                <w:sz w:val="24"/>
                <w:szCs w:val="24"/>
                <w:lang w:val="hu-HU" w:eastAsia="hu-HU" w:bidi="ar-SA"/>
              </w:rPr>
            </w:pPr>
          </w:p>
        </w:tc>
        <w:tc>
          <w:tcPr>
            <w:tcW w:w="3372"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r>
      <w:tr w:rsidR="00DD414C" w:rsidRPr="00B1245B" w:rsidTr="00CE288E">
        <w:tc>
          <w:tcPr>
            <w:tcW w:w="949"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3372"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r>
      <w:tr w:rsidR="00DD414C" w:rsidRPr="00B1245B" w:rsidTr="00CE288E">
        <w:tc>
          <w:tcPr>
            <w:tcW w:w="949"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3372"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r>
      <w:tr w:rsidR="00DD414C" w:rsidRPr="00B1245B" w:rsidTr="00CE288E">
        <w:tc>
          <w:tcPr>
            <w:tcW w:w="949"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3372"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r>
      <w:tr w:rsidR="00DD414C" w:rsidRPr="00B1245B" w:rsidTr="00CE288E">
        <w:tc>
          <w:tcPr>
            <w:tcW w:w="949"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3372"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r>
      <w:tr w:rsidR="00DD414C" w:rsidRPr="00B1245B" w:rsidTr="00CE288E">
        <w:tc>
          <w:tcPr>
            <w:tcW w:w="949"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3372"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r>
      <w:tr w:rsidR="00DD414C" w:rsidRPr="00B1245B" w:rsidTr="00CE288E">
        <w:tc>
          <w:tcPr>
            <w:tcW w:w="949"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3372" w:type="dxa"/>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c>
          <w:tcPr>
            <w:tcW w:w="0" w:type="auto"/>
            <w:vAlign w:val="center"/>
            <w:hideMark/>
          </w:tcPr>
          <w:p w:rsidR="00DD414C" w:rsidRPr="00B1245B" w:rsidRDefault="00DD414C" w:rsidP="00DD414C">
            <w:pPr>
              <w:spacing w:before="100" w:beforeAutospacing="1" w:after="100" w:afterAutospacing="1" w:line="240" w:lineRule="auto"/>
              <w:jc w:val="both"/>
              <w:rPr>
                <w:rFonts w:ascii="Times New Roman" w:hAnsi="Times New Roman"/>
                <w:sz w:val="24"/>
                <w:szCs w:val="24"/>
                <w:lang w:val="hu-HU" w:eastAsia="hu-HU" w:bidi="ar-SA"/>
              </w:rPr>
            </w:pPr>
          </w:p>
        </w:tc>
      </w:tr>
      <w:tr w:rsidR="00DD414C" w:rsidRPr="00B1245B" w:rsidTr="00CE288E">
        <w:tc>
          <w:tcPr>
            <w:tcW w:w="949" w:type="dxa"/>
            <w:vAlign w:val="center"/>
            <w:hideMark/>
          </w:tcPr>
          <w:p w:rsidR="00DD414C" w:rsidRPr="00B1245B" w:rsidRDefault="00DD414C" w:rsidP="00CE288E">
            <w:pPr>
              <w:spacing w:before="100" w:beforeAutospacing="1" w:after="100" w:afterAutospacing="1" w:line="240" w:lineRule="auto"/>
              <w:rPr>
                <w:rFonts w:ascii="Times New Roman" w:hAnsi="Times New Roman"/>
                <w:sz w:val="24"/>
                <w:szCs w:val="24"/>
                <w:lang w:val="hu-HU" w:eastAsia="hu-HU" w:bidi="ar-SA"/>
              </w:rPr>
            </w:pPr>
          </w:p>
        </w:tc>
        <w:tc>
          <w:tcPr>
            <w:tcW w:w="3372" w:type="dxa"/>
            <w:vAlign w:val="center"/>
            <w:hideMark/>
          </w:tcPr>
          <w:p w:rsidR="00DD414C" w:rsidRPr="00B1245B" w:rsidRDefault="00DD414C" w:rsidP="00CE288E">
            <w:pPr>
              <w:spacing w:before="100" w:beforeAutospacing="1" w:after="100" w:afterAutospacing="1" w:line="240" w:lineRule="auto"/>
              <w:rPr>
                <w:rFonts w:ascii="Times New Roman" w:hAnsi="Times New Roman"/>
                <w:sz w:val="24"/>
                <w:szCs w:val="24"/>
                <w:lang w:val="hu-HU" w:eastAsia="hu-HU" w:bidi="ar-SA"/>
              </w:rPr>
            </w:pPr>
          </w:p>
        </w:tc>
        <w:tc>
          <w:tcPr>
            <w:tcW w:w="0" w:type="auto"/>
            <w:vAlign w:val="center"/>
            <w:hideMark/>
          </w:tcPr>
          <w:p w:rsidR="00DD414C" w:rsidRPr="00B1245B" w:rsidRDefault="00DD414C" w:rsidP="00CE288E">
            <w:pPr>
              <w:spacing w:before="100" w:beforeAutospacing="1" w:after="100" w:afterAutospacing="1" w:line="240" w:lineRule="auto"/>
              <w:rPr>
                <w:rFonts w:ascii="Times New Roman" w:hAnsi="Times New Roman"/>
                <w:sz w:val="24"/>
                <w:szCs w:val="24"/>
                <w:lang w:val="hu-HU" w:eastAsia="hu-HU" w:bidi="ar-SA"/>
              </w:rPr>
            </w:pPr>
          </w:p>
        </w:tc>
        <w:tc>
          <w:tcPr>
            <w:tcW w:w="0" w:type="auto"/>
            <w:vAlign w:val="center"/>
            <w:hideMark/>
          </w:tcPr>
          <w:p w:rsidR="00DD414C" w:rsidRPr="00B1245B" w:rsidRDefault="00DD414C" w:rsidP="00CE288E">
            <w:pPr>
              <w:spacing w:before="100" w:beforeAutospacing="1" w:after="100" w:afterAutospacing="1" w:line="240" w:lineRule="auto"/>
              <w:jc w:val="right"/>
              <w:rPr>
                <w:rFonts w:ascii="Times New Roman" w:hAnsi="Times New Roman"/>
                <w:sz w:val="24"/>
                <w:szCs w:val="24"/>
                <w:lang w:val="hu-HU" w:eastAsia="hu-HU" w:bidi="ar-SA"/>
              </w:rPr>
            </w:pPr>
          </w:p>
        </w:tc>
      </w:tr>
    </w:tbl>
    <w:p w:rsidR="007E1488" w:rsidRPr="00B1245B" w:rsidRDefault="007E1488" w:rsidP="00481EF6">
      <w:pPr>
        <w:spacing w:before="100" w:beforeAutospacing="1" w:after="100" w:afterAutospacing="1" w:line="240" w:lineRule="auto"/>
        <w:jc w:val="both"/>
        <w:rPr>
          <w:rFonts w:ascii="Times New Roman" w:hAnsi="Times New Roman"/>
          <w:sz w:val="24"/>
          <w:szCs w:val="24"/>
          <w:lang w:eastAsia="hu-HU"/>
        </w:rPr>
      </w:pPr>
    </w:p>
    <w:p w:rsidR="009D6B58" w:rsidRPr="00B1245B" w:rsidRDefault="001816F8" w:rsidP="00481EF6">
      <w:pPr>
        <w:pStyle w:val="NormlWeb"/>
        <w:spacing w:before="160" w:beforeAutospacing="0" w:after="80" w:afterAutospacing="0"/>
        <w:jc w:val="both"/>
      </w:pPr>
      <w:r w:rsidRPr="00B1245B">
        <w:rPr>
          <w:b/>
          <w:bCs/>
        </w:rPr>
        <w:t>158/2014. (VI. 30.) Korm. rendelet</w:t>
      </w:r>
      <w:r w:rsidR="009D6B58" w:rsidRPr="00B1245B">
        <w:t xml:space="preserve"> </w:t>
      </w:r>
      <w:r w:rsidRPr="00B1245B">
        <w:rPr>
          <w:b/>
          <w:bCs/>
        </w:rPr>
        <w:t>az európai uniós versenyjogi értelemben vett állami támoga</w:t>
      </w:r>
      <w:r w:rsidR="009D6B58" w:rsidRPr="00B1245B">
        <w:rPr>
          <w:b/>
          <w:bCs/>
        </w:rPr>
        <w:t xml:space="preserve">tásokkal kapcsolatos eljárásról </w:t>
      </w:r>
      <w:r w:rsidRPr="00B1245B">
        <w:rPr>
          <w:b/>
          <w:bCs/>
        </w:rPr>
        <w:t>és a regionális támogatási térképről szóló 37/2011. (III. 22.) Korm. rendelet módosításáról</w:t>
      </w:r>
    </w:p>
    <w:p w:rsidR="001816F8" w:rsidRPr="00B1245B" w:rsidRDefault="001816F8" w:rsidP="00481EF6">
      <w:pPr>
        <w:pStyle w:val="NormlWeb"/>
        <w:spacing w:before="160" w:beforeAutospacing="0" w:after="80" w:afterAutospacing="0"/>
        <w:jc w:val="both"/>
      </w:pPr>
      <w:r w:rsidRPr="00B1245B">
        <w:t>A Kormány az államháztartásról szóló 2011. évi CXCV. törvény 109. § (1) bekezdés 32. pontjában kapott felhatalmazás alapján, az Alaptörvény 15. cikk (1) bekezdésében meghatározott feladatkörében eljárva a következőket rendeli el:</w:t>
      </w:r>
    </w:p>
    <w:p w:rsidR="001816F8" w:rsidRPr="00B1245B" w:rsidRDefault="001816F8" w:rsidP="00481EF6">
      <w:pPr>
        <w:pStyle w:val="NormlWeb"/>
        <w:spacing w:before="160" w:beforeAutospacing="0" w:after="80" w:afterAutospacing="0"/>
        <w:jc w:val="both"/>
      </w:pPr>
      <w:r w:rsidRPr="00B1245B">
        <w:t>1–6. §</w:t>
      </w:r>
      <w:hyperlink r:id="rId8" w:anchor="foot1" w:history="1">
        <w:r w:rsidRPr="00B1245B">
          <w:t>1</w:t>
        </w:r>
      </w:hyperlink>
      <w:r w:rsidR="007679FD" w:rsidRPr="00B1245B">
        <w:t>,</w:t>
      </w:r>
      <w:r w:rsidRPr="00B1245B">
        <w:t>7. § (1)</w:t>
      </w:r>
      <w:hyperlink r:id="rId9" w:anchor="foot2" w:history="1">
        <w:r w:rsidRPr="00B1245B">
          <w:t>2</w:t>
        </w:r>
      </w:hyperlink>
      <w:r w:rsidRPr="00B1245B">
        <w:t>(2)</w:t>
      </w:r>
      <w:hyperlink r:id="rId10" w:anchor="foot3" w:history="1">
        <w:r w:rsidRPr="00B1245B">
          <w:t>3</w:t>
        </w:r>
      </w:hyperlink>
      <w:r w:rsidRPr="00B1245B">
        <w:t>(3)</w:t>
      </w:r>
      <w:hyperlink r:id="rId11" w:anchor="foot4" w:history="1">
        <w:r w:rsidRPr="00B1245B">
          <w:t>4</w:t>
        </w:r>
      </w:hyperlink>
      <w:r w:rsidR="007679FD" w:rsidRPr="00B1245B">
        <w:t xml:space="preserve"> </w:t>
      </w:r>
      <w:r w:rsidRPr="00B1245B">
        <w:t>8–13. §</w:t>
      </w:r>
      <w:hyperlink r:id="rId12" w:anchor="foot5" w:history="1">
        <w:r w:rsidRPr="00B1245B">
          <w:t>5</w:t>
        </w:r>
      </w:hyperlink>
      <w:r w:rsidRPr="00B1245B">
        <w:t>14. § (1)</w:t>
      </w:r>
      <w:bookmarkStart w:id="9" w:name="foot_6_place"/>
      <w:r w:rsidR="0057028F" w:rsidRPr="00B1245B">
        <w:fldChar w:fldCharType="begin"/>
      </w:r>
      <w:r w:rsidRPr="00B1245B">
        <w:instrText xml:space="preserve"> HYPERLINK "http://njt.hu/cgi_bin/njt_doc.cgi?docid=170226.266044" \l "foot6" </w:instrText>
      </w:r>
      <w:r w:rsidR="0057028F" w:rsidRPr="00B1245B">
        <w:fldChar w:fldCharType="separate"/>
      </w:r>
      <w:r w:rsidRPr="00B1245B">
        <w:t>6</w:t>
      </w:r>
      <w:r w:rsidR="0057028F" w:rsidRPr="00B1245B">
        <w:fldChar w:fldCharType="end"/>
      </w:r>
      <w:bookmarkEnd w:id="9"/>
      <w:r w:rsidRPr="00B1245B">
        <w:t>(2)</w:t>
      </w:r>
      <w:bookmarkStart w:id="10" w:name="foot_7_place"/>
      <w:r w:rsidR="0057028F" w:rsidRPr="00B1245B">
        <w:fldChar w:fldCharType="begin"/>
      </w:r>
      <w:r w:rsidRPr="00B1245B">
        <w:instrText xml:space="preserve"> HYPERLINK "http://njt.hu/cgi_bin/njt_doc.cgi?docid=170226.266044" \l "foot7" </w:instrText>
      </w:r>
      <w:r w:rsidR="0057028F" w:rsidRPr="00B1245B">
        <w:fldChar w:fldCharType="separate"/>
      </w:r>
      <w:r w:rsidRPr="00B1245B">
        <w:t>7</w:t>
      </w:r>
      <w:r w:rsidR="0057028F" w:rsidRPr="00B1245B">
        <w:fldChar w:fldCharType="end"/>
      </w:r>
      <w:bookmarkEnd w:id="10"/>
      <w:r w:rsidRPr="00B1245B">
        <w:t>15. §</w:t>
      </w:r>
      <w:bookmarkStart w:id="11" w:name="foot_8_place"/>
      <w:r w:rsidR="0057028F" w:rsidRPr="00B1245B">
        <w:fldChar w:fldCharType="begin"/>
      </w:r>
      <w:r w:rsidRPr="00B1245B">
        <w:instrText xml:space="preserve"> HYPERLINK "http://njt.hu/cgi_bin/njt_doc.cgi?docid=170226.266044" \l "foot8" </w:instrText>
      </w:r>
      <w:r w:rsidR="0057028F" w:rsidRPr="00B1245B">
        <w:fldChar w:fldCharType="separate"/>
      </w:r>
      <w:r w:rsidRPr="00B1245B">
        <w:t>8</w:t>
      </w:r>
      <w:r w:rsidR="0057028F" w:rsidRPr="00B1245B">
        <w:fldChar w:fldCharType="end"/>
      </w:r>
      <w:bookmarkEnd w:id="11"/>
      <w:r w:rsidRPr="00B1245B">
        <w:t>16. § (1) Ez a rendelet – a (2) és (3) bekezdésben meghatározott kivétellel – a kihirdetése napján 23 órakor lép hatályba.</w:t>
      </w:r>
    </w:p>
    <w:p w:rsidR="007679FD" w:rsidRPr="00B1245B" w:rsidRDefault="001816F8" w:rsidP="00481EF6">
      <w:pPr>
        <w:pStyle w:val="NormlWeb"/>
        <w:spacing w:before="160" w:beforeAutospacing="0" w:after="80" w:afterAutospacing="0"/>
        <w:jc w:val="both"/>
      </w:pPr>
      <w:r w:rsidRPr="00B1245B">
        <w:t>(2) Az 1–6. §, a 7. § (1) és (3) bekezdése, a 8–13. § és a 14. § (1) bekezdése, valamint az 1–4. melléklet 2014. július 1-jén lép hatályba.</w:t>
      </w:r>
      <w:r w:rsidR="007679FD" w:rsidRPr="00B1245B">
        <w:t xml:space="preserve"> Az 1–6. § a 2010: CXXX. törvény 12. § (2) bekezdése alapján hatályát vesztette.</w:t>
      </w:r>
    </w:p>
    <w:bookmarkStart w:id="12" w:name="foot2"/>
    <w:p w:rsidR="007679FD" w:rsidRPr="00B1245B" w:rsidRDefault="0057028F" w:rsidP="00481EF6">
      <w:pPr>
        <w:pStyle w:val="NormlWeb"/>
        <w:spacing w:before="160" w:beforeAutospacing="0" w:after="80" w:afterAutospacing="0"/>
        <w:jc w:val="both"/>
      </w:pPr>
      <w:r w:rsidRPr="00B1245B">
        <w:fldChar w:fldCharType="begin"/>
      </w:r>
      <w:r w:rsidR="007679FD" w:rsidRPr="00B1245B">
        <w:instrText xml:space="preserve"> HYPERLINK "http://njt.hu/cgi_bin/njt_doc.cgi?docid=170226.266044" \l "foot_2_place" </w:instrText>
      </w:r>
      <w:r w:rsidRPr="00B1245B">
        <w:fldChar w:fldCharType="separate"/>
      </w:r>
      <w:r w:rsidR="007679FD" w:rsidRPr="00B1245B">
        <w:t>2</w:t>
      </w:r>
      <w:r w:rsidRPr="00B1245B">
        <w:fldChar w:fldCharType="end"/>
      </w:r>
      <w:bookmarkEnd w:id="12"/>
      <w:r w:rsidR="007679FD" w:rsidRPr="00B1245B">
        <w:t xml:space="preserve"> A 7. § (1) bekezdése a 2010: CXXX. törvény 12. § (2) bekezdése alapján hatályát vesztette.</w:t>
      </w:r>
    </w:p>
    <w:bookmarkStart w:id="13" w:name="foot3"/>
    <w:p w:rsidR="007679FD" w:rsidRPr="00B1245B" w:rsidRDefault="0057028F" w:rsidP="00481EF6">
      <w:pPr>
        <w:pStyle w:val="NormlWeb"/>
        <w:spacing w:before="160" w:beforeAutospacing="0" w:after="80" w:afterAutospacing="0"/>
        <w:jc w:val="both"/>
      </w:pPr>
      <w:r w:rsidRPr="00B1245B">
        <w:fldChar w:fldCharType="begin"/>
      </w:r>
      <w:r w:rsidR="007679FD" w:rsidRPr="00B1245B">
        <w:instrText xml:space="preserve"> HYPERLINK "http://njt.hu/cgi_bin/njt_doc.cgi?docid=170226.266044" \l "foot_3_place" </w:instrText>
      </w:r>
      <w:r w:rsidRPr="00B1245B">
        <w:fldChar w:fldCharType="separate"/>
      </w:r>
      <w:r w:rsidR="007679FD" w:rsidRPr="00B1245B">
        <w:t>3</w:t>
      </w:r>
      <w:r w:rsidRPr="00B1245B">
        <w:fldChar w:fldCharType="end"/>
      </w:r>
      <w:bookmarkEnd w:id="13"/>
      <w:r w:rsidR="007679FD" w:rsidRPr="00B1245B">
        <w:t xml:space="preserve"> A 7. § (2) bekezdése a 16. § (3) bekezdése alapján 2015. január 1-jén lép hatályba.</w:t>
      </w:r>
    </w:p>
    <w:bookmarkStart w:id="14" w:name="foot4"/>
    <w:p w:rsidR="007679FD" w:rsidRPr="00B1245B" w:rsidRDefault="0057028F" w:rsidP="00481EF6">
      <w:pPr>
        <w:pStyle w:val="NormlWeb"/>
        <w:spacing w:before="160" w:beforeAutospacing="0" w:after="80" w:afterAutospacing="0"/>
        <w:jc w:val="both"/>
      </w:pPr>
      <w:r w:rsidRPr="00B1245B">
        <w:fldChar w:fldCharType="begin"/>
      </w:r>
      <w:r w:rsidR="007679FD" w:rsidRPr="00B1245B">
        <w:instrText xml:space="preserve"> HYPERLINK "http://njt.hu/cgi_bin/njt_doc.cgi?docid=170226.266044" \l "foot_4_place" </w:instrText>
      </w:r>
      <w:r w:rsidRPr="00B1245B">
        <w:fldChar w:fldCharType="separate"/>
      </w:r>
      <w:r w:rsidR="007679FD" w:rsidRPr="00B1245B">
        <w:t>4</w:t>
      </w:r>
      <w:r w:rsidRPr="00B1245B">
        <w:fldChar w:fldCharType="end"/>
      </w:r>
      <w:bookmarkEnd w:id="14"/>
      <w:r w:rsidR="007679FD" w:rsidRPr="00B1245B">
        <w:t xml:space="preserve"> A 7. § (3) bekezdése a 2010: CXXX. törvény 12. § (2) bekezdése alapján hatályát vesztette.</w:t>
      </w:r>
    </w:p>
    <w:bookmarkStart w:id="15" w:name="foot5"/>
    <w:p w:rsidR="007679FD" w:rsidRPr="00B1245B" w:rsidRDefault="0057028F" w:rsidP="00481EF6">
      <w:pPr>
        <w:pStyle w:val="NormlWeb"/>
        <w:spacing w:before="160" w:beforeAutospacing="0" w:after="80" w:afterAutospacing="0"/>
        <w:jc w:val="both"/>
      </w:pPr>
      <w:r w:rsidRPr="00B1245B">
        <w:fldChar w:fldCharType="begin"/>
      </w:r>
      <w:r w:rsidR="007679FD" w:rsidRPr="00B1245B">
        <w:instrText xml:space="preserve"> HYPERLINK "http://njt.hu/cgi_bin/njt_doc.cgi?docid=170226.266044" \l "foot_5_place" </w:instrText>
      </w:r>
      <w:r w:rsidRPr="00B1245B">
        <w:fldChar w:fldCharType="separate"/>
      </w:r>
      <w:r w:rsidR="007679FD" w:rsidRPr="00B1245B">
        <w:t>5</w:t>
      </w:r>
      <w:r w:rsidRPr="00B1245B">
        <w:fldChar w:fldCharType="end"/>
      </w:r>
      <w:bookmarkEnd w:id="15"/>
      <w:r w:rsidR="007679FD" w:rsidRPr="00B1245B">
        <w:t xml:space="preserve"> A 8–13. § a 2010: CXXX. törvény 12. § (2) bekezdése alapján hatályát vesztette.</w:t>
      </w:r>
    </w:p>
    <w:bookmarkStart w:id="16" w:name="foot6"/>
    <w:p w:rsidR="007679FD" w:rsidRPr="00B1245B" w:rsidRDefault="0057028F" w:rsidP="00481EF6">
      <w:pPr>
        <w:pStyle w:val="NormlWeb"/>
        <w:spacing w:before="160" w:beforeAutospacing="0" w:after="80" w:afterAutospacing="0"/>
        <w:jc w:val="both"/>
      </w:pPr>
      <w:r w:rsidRPr="00B1245B">
        <w:fldChar w:fldCharType="begin"/>
      </w:r>
      <w:r w:rsidR="007679FD" w:rsidRPr="00B1245B">
        <w:instrText xml:space="preserve"> HYPERLINK "http://njt.hu/cgi_bin/njt_doc.cgi?docid=170226.266044" \l "foot_6_place" </w:instrText>
      </w:r>
      <w:r w:rsidRPr="00B1245B">
        <w:fldChar w:fldCharType="separate"/>
      </w:r>
      <w:r w:rsidR="007679FD" w:rsidRPr="00B1245B">
        <w:t>6</w:t>
      </w:r>
      <w:r w:rsidRPr="00B1245B">
        <w:fldChar w:fldCharType="end"/>
      </w:r>
      <w:bookmarkEnd w:id="16"/>
      <w:r w:rsidR="007679FD" w:rsidRPr="00B1245B">
        <w:t xml:space="preserve"> A 14. § (1) bekezdése a 2010: CXXX. törvény 12. § (2) bekezdése alapján hatályát vesztette.</w:t>
      </w:r>
    </w:p>
    <w:bookmarkStart w:id="17" w:name="foot7"/>
    <w:p w:rsidR="007679FD" w:rsidRPr="00B1245B" w:rsidRDefault="0057028F" w:rsidP="00481EF6">
      <w:pPr>
        <w:pStyle w:val="NormlWeb"/>
        <w:spacing w:before="160" w:beforeAutospacing="0" w:after="80" w:afterAutospacing="0"/>
        <w:jc w:val="both"/>
      </w:pPr>
      <w:r w:rsidRPr="00B1245B">
        <w:fldChar w:fldCharType="begin"/>
      </w:r>
      <w:r w:rsidR="007679FD" w:rsidRPr="00B1245B">
        <w:instrText xml:space="preserve"> HYPERLINK "http://njt.hu/cgi_bin/njt_doc.cgi?docid=170226.266044" \l "foot_7_place" </w:instrText>
      </w:r>
      <w:r w:rsidRPr="00B1245B">
        <w:fldChar w:fldCharType="separate"/>
      </w:r>
      <w:r w:rsidR="007679FD" w:rsidRPr="00B1245B">
        <w:t>7</w:t>
      </w:r>
      <w:r w:rsidRPr="00B1245B">
        <w:fldChar w:fldCharType="end"/>
      </w:r>
      <w:bookmarkEnd w:id="17"/>
      <w:r w:rsidR="007679FD" w:rsidRPr="00B1245B">
        <w:t xml:space="preserve"> A 14. § (2) bekezdése a 16. § (3) bekezdése alapján 2015. január 1-jén lép hatályba.</w:t>
      </w:r>
    </w:p>
    <w:bookmarkStart w:id="18" w:name="foot8"/>
    <w:p w:rsidR="007679FD" w:rsidRPr="00B1245B" w:rsidRDefault="0057028F" w:rsidP="00481EF6">
      <w:pPr>
        <w:pStyle w:val="NormlWeb"/>
        <w:spacing w:before="160" w:beforeAutospacing="0" w:after="80" w:afterAutospacing="0"/>
        <w:jc w:val="both"/>
      </w:pPr>
      <w:r w:rsidRPr="00B1245B">
        <w:fldChar w:fldCharType="begin"/>
      </w:r>
      <w:r w:rsidR="007679FD" w:rsidRPr="00B1245B">
        <w:instrText xml:space="preserve"> HYPERLINK "http://njt.hu/cgi_bin/njt_doc.cgi?docid=170226.266044" \l "foot_8_place" </w:instrText>
      </w:r>
      <w:r w:rsidRPr="00B1245B">
        <w:fldChar w:fldCharType="separate"/>
      </w:r>
      <w:r w:rsidR="007679FD" w:rsidRPr="00B1245B">
        <w:t>8</w:t>
      </w:r>
      <w:r w:rsidRPr="00B1245B">
        <w:fldChar w:fldCharType="end"/>
      </w:r>
      <w:bookmarkEnd w:id="18"/>
      <w:r w:rsidR="007679FD" w:rsidRPr="00B1245B">
        <w:t xml:space="preserve"> A 15. § a 2010: CXXX. törvény 12. § (2) bekezdése alapján hatályát vesztette.</w:t>
      </w:r>
    </w:p>
    <w:bookmarkStart w:id="19" w:name="foot9"/>
    <w:p w:rsidR="007679FD" w:rsidRPr="00B1245B" w:rsidRDefault="0057028F" w:rsidP="00481EF6">
      <w:pPr>
        <w:pStyle w:val="NormlWeb"/>
        <w:spacing w:before="160" w:beforeAutospacing="0" w:after="80" w:afterAutospacing="0"/>
        <w:jc w:val="both"/>
      </w:pPr>
      <w:r w:rsidRPr="00B1245B">
        <w:fldChar w:fldCharType="begin"/>
      </w:r>
      <w:r w:rsidR="007679FD" w:rsidRPr="00B1245B">
        <w:instrText xml:space="preserve"> HYPERLINK "http://njt.hu/cgi_bin/njt_doc.cgi?docid=170226.266044" \l "foot_9_place" </w:instrText>
      </w:r>
      <w:r w:rsidRPr="00B1245B">
        <w:fldChar w:fldCharType="separate"/>
      </w:r>
      <w:r w:rsidR="007679FD" w:rsidRPr="00B1245B">
        <w:t>9</w:t>
      </w:r>
      <w:r w:rsidRPr="00B1245B">
        <w:fldChar w:fldCharType="end"/>
      </w:r>
      <w:bookmarkEnd w:id="19"/>
      <w:r w:rsidR="007679FD" w:rsidRPr="00B1245B">
        <w:t xml:space="preserve"> Az 1–4. melléklet a 2010: CXXX. törvény 12. § (2) bekezdése alapján hatályát vesztette.</w:t>
      </w:r>
    </w:p>
    <w:tbl>
      <w:tblPr>
        <w:tblW w:w="7395" w:type="dxa"/>
        <w:tblInd w:w="-60" w:type="dxa"/>
        <w:tblCellMar>
          <w:top w:w="15" w:type="dxa"/>
          <w:left w:w="15" w:type="dxa"/>
          <w:bottom w:w="15" w:type="dxa"/>
          <w:right w:w="15" w:type="dxa"/>
        </w:tblCellMar>
        <w:tblLook w:val="04A0"/>
      </w:tblPr>
      <w:tblGrid>
        <w:gridCol w:w="949"/>
        <w:gridCol w:w="3372"/>
        <w:gridCol w:w="1537"/>
        <w:gridCol w:w="1537"/>
      </w:tblGrid>
      <w:tr w:rsidR="00DD414C" w:rsidRPr="00B1245B" w:rsidTr="00CE288E">
        <w:tc>
          <w:tcPr>
            <w:tcW w:w="949" w:type="dxa"/>
            <w:vAlign w:val="center"/>
            <w:hideMark/>
          </w:tcPr>
          <w:p w:rsidR="00DD414C" w:rsidRPr="00B1245B" w:rsidRDefault="00DD414C" w:rsidP="00DD414C">
            <w:pPr>
              <w:spacing w:after="0" w:line="240" w:lineRule="auto"/>
              <w:rPr>
                <w:rFonts w:ascii="Times New Roman" w:hAnsi="Times New Roman"/>
                <w:sz w:val="24"/>
                <w:szCs w:val="24"/>
                <w:lang w:val="hu-HU" w:eastAsia="hu-HU" w:bidi="ar-SA"/>
              </w:rPr>
            </w:pPr>
          </w:p>
        </w:tc>
        <w:tc>
          <w:tcPr>
            <w:tcW w:w="3372" w:type="dxa"/>
            <w:vAlign w:val="center"/>
            <w:hideMark/>
          </w:tcPr>
          <w:p w:rsidR="00DD414C" w:rsidRPr="00B1245B" w:rsidRDefault="00DD414C" w:rsidP="00CE288E">
            <w:pPr>
              <w:spacing w:before="100" w:beforeAutospacing="1" w:after="100" w:afterAutospacing="1" w:line="240" w:lineRule="auto"/>
              <w:rPr>
                <w:rFonts w:ascii="Times New Roman" w:hAnsi="Times New Roman"/>
                <w:sz w:val="24"/>
                <w:szCs w:val="24"/>
                <w:lang w:val="hu-HU" w:eastAsia="hu-HU" w:bidi="ar-SA"/>
              </w:rPr>
            </w:pPr>
          </w:p>
        </w:tc>
        <w:tc>
          <w:tcPr>
            <w:tcW w:w="0" w:type="auto"/>
            <w:vAlign w:val="center"/>
            <w:hideMark/>
          </w:tcPr>
          <w:p w:rsidR="00DD414C" w:rsidRPr="00B1245B" w:rsidRDefault="00DD414C" w:rsidP="00CE288E">
            <w:pPr>
              <w:spacing w:before="100" w:beforeAutospacing="1" w:after="100" w:afterAutospacing="1" w:line="240" w:lineRule="auto"/>
              <w:rPr>
                <w:rFonts w:ascii="Times New Roman" w:hAnsi="Times New Roman"/>
                <w:sz w:val="24"/>
                <w:szCs w:val="24"/>
                <w:lang w:val="hu-HU" w:eastAsia="hu-HU" w:bidi="ar-SA"/>
              </w:rPr>
            </w:pPr>
          </w:p>
        </w:tc>
        <w:tc>
          <w:tcPr>
            <w:tcW w:w="0" w:type="auto"/>
            <w:vAlign w:val="center"/>
            <w:hideMark/>
          </w:tcPr>
          <w:p w:rsidR="00DD414C" w:rsidRPr="00B1245B" w:rsidRDefault="00DD414C" w:rsidP="00CE288E">
            <w:pPr>
              <w:spacing w:before="100" w:beforeAutospacing="1" w:after="100" w:afterAutospacing="1" w:line="240" w:lineRule="auto"/>
              <w:jc w:val="right"/>
              <w:rPr>
                <w:rFonts w:ascii="Times New Roman" w:hAnsi="Times New Roman"/>
                <w:sz w:val="24"/>
                <w:szCs w:val="24"/>
                <w:lang w:val="hu-HU" w:eastAsia="hu-HU" w:bidi="ar-SA"/>
              </w:rPr>
            </w:pPr>
          </w:p>
        </w:tc>
      </w:tr>
    </w:tbl>
    <w:p w:rsidR="000D21DB" w:rsidRPr="00B1245B" w:rsidRDefault="000D21DB" w:rsidP="00481EF6">
      <w:pPr>
        <w:pStyle w:val="NormlWeb"/>
        <w:spacing w:before="160" w:beforeAutospacing="0" w:after="80" w:afterAutospacing="0"/>
        <w:jc w:val="both"/>
      </w:pPr>
    </w:p>
    <w:p w:rsidR="007F3935" w:rsidRPr="00B1245B" w:rsidRDefault="007F3935" w:rsidP="00481EF6">
      <w:pPr>
        <w:spacing w:before="100" w:beforeAutospacing="1" w:after="100" w:afterAutospacing="1" w:line="240" w:lineRule="auto"/>
        <w:jc w:val="both"/>
        <w:rPr>
          <w:rStyle w:val="Kiemels2"/>
          <w:rFonts w:ascii="Times New Roman" w:hAnsi="Times New Roman"/>
          <w:sz w:val="24"/>
          <w:szCs w:val="24"/>
          <w:lang w:val="hu-HU"/>
        </w:rPr>
      </w:pPr>
      <w:r w:rsidRPr="00B1245B">
        <w:rPr>
          <w:rFonts w:ascii="Times New Roman" w:hAnsi="Times New Roman"/>
          <w:b/>
          <w:sz w:val="24"/>
          <w:szCs w:val="24"/>
          <w:lang w:val="hu-HU"/>
        </w:rPr>
        <w:t>1431/2014. (VII. 31.) Korm. határozat az</w:t>
      </w:r>
      <w:r w:rsidRPr="00B1245B">
        <w:rPr>
          <w:rFonts w:ascii="Times New Roman" w:hAnsi="Times New Roman"/>
          <w:sz w:val="24"/>
          <w:szCs w:val="24"/>
          <w:lang w:val="hu-HU"/>
        </w:rPr>
        <w:t xml:space="preserve"> </w:t>
      </w:r>
      <w:r w:rsidRPr="00B1245B">
        <w:rPr>
          <w:rStyle w:val="Kiemels2"/>
          <w:rFonts w:ascii="Times New Roman" w:hAnsi="Times New Roman"/>
          <w:sz w:val="24"/>
          <w:szCs w:val="24"/>
          <w:lang w:val="hu-HU"/>
        </w:rPr>
        <w:t>európai uniós fejlesztési programokkal – különös tekintettel a kifizetésekkel, a nagyprojektekkel, a Partnerségi Megállapodással és a 2014–2020 programozási időszak eljárásrendjével – összefüggő intézkedésekről</w:t>
      </w:r>
    </w:p>
    <w:p w:rsidR="003319F5" w:rsidRPr="00B1245B" w:rsidRDefault="003319F5" w:rsidP="003319F5">
      <w:pPr>
        <w:pStyle w:val="NormlWeb"/>
        <w:jc w:val="both"/>
      </w:pPr>
      <w:r w:rsidRPr="00B1245B">
        <w:t>A Kormány</w:t>
      </w:r>
    </w:p>
    <w:p w:rsidR="003319F5" w:rsidRPr="00B1245B" w:rsidRDefault="003319F5" w:rsidP="003319F5">
      <w:pPr>
        <w:pStyle w:val="NormlWeb"/>
        <w:jc w:val="both"/>
      </w:pPr>
      <w:r w:rsidRPr="00B1245B">
        <w:t>1. felhívja a Miniszterelnökséget vezető minisztert, hogy készítsen előterjesztést a Nemzeti Fejlesztési Kormánybizottság számára a 2007–2013 programozási időszak operatív programjaiban még szükséges többletkötelezettség-vállalás összegéről, valamint az egyes programok teljes forrásfelhasználásához már nem szükséges többletkötelezettség-vállalásokról, figyelembe véve a várható korrekciók hatását a forrásfelhasználásra;</w:t>
      </w:r>
    </w:p>
    <w:p w:rsidR="003319F5" w:rsidRPr="00B1245B" w:rsidRDefault="003319F5" w:rsidP="003319F5">
      <w:pPr>
        <w:pStyle w:val="NormlWeb"/>
        <w:jc w:val="both"/>
      </w:pPr>
      <w:r w:rsidRPr="00B1245B">
        <w:t>2. felhívja a nemzetgazdasági minisztert, hogy készítsen jelentést a Nemzeti Fejlesztési Kormánybizottság számára a Gazdaságfejlesztési Operatív Program és a Regionális Fejlesztési Operatív Programok módosításának helyzetéről;</w:t>
      </w:r>
    </w:p>
    <w:p w:rsidR="003319F5" w:rsidRPr="00B1245B" w:rsidRDefault="003319F5" w:rsidP="003319F5">
      <w:pPr>
        <w:pStyle w:val="NormlWeb"/>
        <w:jc w:val="both"/>
      </w:pPr>
      <w:r w:rsidRPr="00B1245B">
        <w:t>3. felhívja a nemzeti fejlesztési minisztert és az emberi erőforrások miniszterét, hogy készítsenek jelentést a Nemzeti Fejlesztési Kormánybizottság számára az Európai Bizottság által átdolgozásra visszaküldött nagyprojekt javaslatok elkészítésének helyzetéről;</w:t>
      </w:r>
    </w:p>
    <w:p w:rsidR="003319F5" w:rsidRPr="00B1245B" w:rsidRDefault="003319F5" w:rsidP="003319F5">
      <w:pPr>
        <w:pStyle w:val="NormlWeb"/>
        <w:jc w:val="both"/>
      </w:pPr>
      <w:r w:rsidRPr="00B1245B">
        <w:t>4. felhívja a Miniszterelnökséget vezető minisztert, a nemzetgazdasági minisztert, a nemzeti fejlesztési minisztert és az emberi erőforrások miniszterét, hogy készítsenek jelentést a Nemzeti Fejlesztési Kormánybizottság számára a bennálló és késedelmes számlaállomány feldolgozására vállalt intézkedések, valamint a projektek végrehajtásához kötődő támogatási szerződés módosítások és hiánypótlások gyorsított ütemű feldolgozására tett intézkedések végrehajtásáról;</w:t>
      </w:r>
    </w:p>
    <w:p w:rsidR="003319F5" w:rsidRPr="00B1245B" w:rsidRDefault="003319F5" w:rsidP="003319F5">
      <w:pPr>
        <w:pStyle w:val="NormlWeb"/>
        <w:jc w:val="both"/>
      </w:pPr>
      <w:r w:rsidRPr="00B1245B">
        <w:t>5. megismerte és egyetért a Partnerségi Megállapodásról szóló tárgyalások tartalmával, továbbá – az egyeztetések lezárását követően – elrendeli az átdolgozott Partnerségi Megállapodás Európai Bizottsághoz történő hivatalos benyújtását;</w:t>
      </w:r>
    </w:p>
    <w:p w:rsidR="003319F5" w:rsidRPr="00B1245B" w:rsidRDefault="003319F5" w:rsidP="003319F5">
      <w:pPr>
        <w:pStyle w:val="NormlWeb"/>
        <w:jc w:val="both"/>
      </w:pPr>
      <w:r w:rsidRPr="00B1245B">
        <w:t>6. felhívja a nemzetgazdasági minisztert, hogy a 2014–2020 közötti időszakban a Terület- és Településfejlesztési Operatív Program tervezésének egyes szempontjairól, valamint az operatív programhoz tartozó megyék megyei önkormányzatai és a megyei jogú városok önkormányzatai tervezési jogkörébe utalt források megoszlásáról szóló 1298/2014. (V. 5.) Korm. határozat 3. mellékletében rögzített indikatív forrásallokációkat – az összegek változatlanul hagyása mellett – az 1. mellékletbe emelje át;</w:t>
      </w:r>
    </w:p>
    <w:p w:rsidR="003319F5" w:rsidRPr="00B1245B" w:rsidRDefault="003319F5" w:rsidP="003319F5">
      <w:pPr>
        <w:pStyle w:val="NormlWeb"/>
        <w:jc w:val="both"/>
      </w:pPr>
      <w:r w:rsidRPr="00B1245B">
        <w:t>7. felhívja a nemzetgazdasági minisztert, hogy a Miniszterelnökséget vezető miniszter bevonásával kezdje meg a 2014–2020 programozási időszakban finanszírozandó országos projektek Közép-Magyarországra eső, Versenyképes Közép-Magyarország Operatív Programot érintő hányadának felmérését és a Partnerségi Megállapodás elfogadásáig a szükséges döntéseket készítse elő;</w:t>
      </w:r>
    </w:p>
    <w:p w:rsidR="003319F5" w:rsidRPr="00B1245B" w:rsidRDefault="003319F5" w:rsidP="003319F5">
      <w:pPr>
        <w:pStyle w:val="NormlWeb"/>
        <w:jc w:val="both"/>
      </w:pPr>
      <w:r w:rsidRPr="00B1245B">
        <w:t>8. felhívja a Miniszterelnökséget vezető minisztert, hogy az 1. mellékletben meghatározott tagokkal hívja össze az Operatív Program Tervezéskoordinációs Munkacsoportot, irányítsa a munkacsoport munkáját és kezdje meg az Európai Bizottsággal a formális tárgyalásokat a 2014–2020 programozási időszak operatív programjairól;</w:t>
      </w:r>
    </w:p>
    <w:p w:rsidR="003319F5" w:rsidRPr="00B1245B" w:rsidRDefault="003319F5" w:rsidP="003319F5">
      <w:pPr>
        <w:pStyle w:val="NormlWeb"/>
        <w:jc w:val="both"/>
      </w:pPr>
      <w:r w:rsidRPr="00B1245B">
        <w:t>9. felhívja a Miniszterelnökséget vezető minisztert, hogy a 2014–2020 programozási időszakhoz kapcsolódó, az Európai Strukturális és Beruházási Alapok kijelölési auditjára történő felkészülést koordinálja;</w:t>
      </w:r>
    </w:p>
    <w:p w:rsidR="003319F5" w:rsidRPr="00B1245B" w:rsidRDefault="003319F5" w:rsidP="003319F5">
      <w:pPr>
        <w:pStyle w:val="NormlWeb"/>
        <w:jc w:val="both"/>
      </w:pPr>
      <w:r w:rsidRPr="00B1245B">
        <w:t xml:space="preserve">10. felhívja a nemzetgazdasági minisztert, hogy az Európai Támogatásokat </w:t>
      </w:r>
      <w:proofErr w:type="spellStart"/>
      <w:r w:rsidRPr="00B1245B">
        <w:t>Auditáló</w:t>
      </w:r>
      <w:proofErr w:type="spellEnd"/>
      <w:r w:rsidRPr="00B1245B">
        <w:t xml:space="preserve"> Főigazgatóság útján a 2014–2020 programozási időszakhoz kapcsolódó Európai Strukturális és Beruházási Alapok kijelölési auditjának elvégezéséről gondoskodjon;</w:t>
      </w:r>
    </w:p>
    <w:p w:rsidR="003319F5" w:rsidRPr="00B1245B" w:rsidRDefault="003319F5" w:rsidP="003319F5">
      <w:pPr>
        <w:pStyle w:val="NormlWeb"/>
        <w:jc w:val="both"/>
        <w:rPr>
          <w:rStyle w:val="Kiemels2"/>
          <w:b w:val="0"/>
          <w:bCs w:val="0"/>
        </w:rPr>
      </w:pPr>
      <w:r w:rsidRPr="00B1245B">
        <w:t>11. egyetért azzal, hogy a közreműködő szervezetek útján ellátott feladatok központi költségvetési szerv által történő átvételéről szóló 96/2014. (III. 25.) Korm. rendeletben nevesített közreműködő szervezeti feladatot ellátó szervek, illetve a 2007–2013 programozási időszakban az Európai Regionális Fejlesztési Alapból, az Európai Szociális Alapból és a Kohéziós Alapból származó támogatások felhasználásának rendjéről szóló 4/2011. (I. 28.) Korm. rendelet alapján kijelölt közreműködő szervezetek bármely operatív program valamennyi prioritása végrehajtásában kiegészítő feladatokat lássanak el egymás felé a Miniszterelnökség bevonásával.</w:t>
      </w:r>
    </w:p>
    <w:p w:rsidR="002B2BCF" w:rsidRPr="00B1245B" w:rsidRDefault="002B2BCF" w:rsidP="00DD414C">
      <w:pPr>
        <w:spacing w:before="100" w:beforeAutospacing="1" w:after="100" w:afterAutospacing="1" w:line="240" w:lineRule="auto"/>
        <w:jc w:val="both"/>
        <w:rPr>
          <w:rFonts w:ascii="Times New Roman" w:hAnsi="Times New Roman"/>
          <w:sz w:val="24"/>
          <w:szCs w:val="24"/>
          <w:lang w:eastAsia="hu-HU"/>
        </w:rPr>
      </w:pPr>
    </w:p>
    <w:p w:rsidR="002B2BCF" w:rsidRPr="00B1245B" w:rsidRDefault="002B2BCF" w:rsidP="00481EF6">
      <w:pPr>
        <w:spacing w:before="100" w:beforeAutospacing="1" w:after="100" w:afterAutospacing="1" w:line="240" w:lineRule="auto"/>
        <w:jc w:val="both"/>
        <w:rPr>
          <w:rFonts w:ascii="Times New Roman" w:hAnsi="Times New Roman"/>
          <w:sz w:val="24"/>
          <w:szCs w:val="24"/>
          <w:lang w:eastAsia="hu-HU"/>
        </w:rPr>
      </w:pPr>
    </w:p>
    <w:p w:rsidR="002B2BCF" w:rsidRPr="00B1245B" w:rsidRDefault="002B2BCF" w:rsidP="00481EF6">
      <w:pPr>
        <w:spacing w:before="100" w:beforeAutospacing="1" w:after="100" w:afterAutospacing="1" w:line="240" w:lineRule="auto"/>
        <w:jc w:val="both"/>
        <w:rPr>
          <w:rFonts w:ascii="Times New Roman" w:hAnsi="Times New Roman"/>
          <w:sz w:val="24"/>
          <w:szCs w:val="24"/>
          <w:lang w:eastAsia="hu-HU"/>
        </w:rPr>
      </w:pPr>
    </w:p>
    <w:p w:rsidR="002B2BCF" w:rsidRPr="00B1245B" w:rsidRDefault="002B2BCF" w:rsidP="00481EF6">
      <w:pPr>
        <w:spacing w:before="100" w:beforeAutospacing="1" w:after="100" w:afterAutospacing="1" w:line="240" w:lineRule="auto"/>
        <w:jc w:val="both"/>
        <w:rPr>
          <w:rFonts w:ascii="Times New Roman" w:hAnsi="Times New Roman"/>
          <w:sz w:val="24"/>
          <w:szCs w:val="24"/>
          <w:lang w:eastAsia="hu-HU"/>
        </w:rPr>
      </w:pPr>
    </w:p>
    <w:p w:rsidR="002B2BCF" w:rsidRPr="00B1245B" w:rsidRDefault="002B2BCF" w:rsidP="000C66DA">
      <w:pPr>
        <w:spacing w:before="100" w:beforeAutospacing="1" w:after="100" w:afterAutospacing="1" w:line="240" w:lineRule="auto"/>
        <w:rPr>
          <w:rFonts w:ascii="Times New Roman" w:hAnsi="Times New Roman"/>
          <w:sz w:val="24"/>
          <w:szCs w:val="24"/>
          <w:lang w:eastAsia="hu-HU"/>
        </w:rPr>
      </w:pPr>
    </w:p>
    <w:sectPr w:rsidR="002B2BCF" w:rsidRPr="00B1245B" w:rsidSect="00105F5B">
      <w:footerReference w:type="default" r:id="rId13"/>
      <w:type w:val="oddPag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88E" w:rsidRDefault="00CE288E" w:rsidP="00B4698D">
      <w:pPr>
        <w:spacing w:after="0" w:line="240" w:lineRule="auto"/>
      </w:pPr>
      <w:r>
        <w:separator/>
      </w:r>
    </w:p>
  </w:endnote>
  <w:endnote w:type="continuationSeparator" w:id="0">
    <w:p w:rsidR="00CE288E" w:rsidRDefault="00CE288E" w:rsidP="00B46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7047"/>
      <w:docPartObj>
        <w:docPartGallery w:val="Page Numbers (Bottom of Page)"/>
        <w:docPartUnique/>
      </w:docPartObj>
    </w:sdtPr>
    <w:sdtContent>
      <w:p w:rsidR="00CE288E" w:rsidRDefault="0057028F">
        <w:pPr>
          <w:pStyle w:val="llb"/>
          <w:jc w:val="center"/>
        </w:pPr>
        <w:fldSimple w:instr=" PAGE   \* MERGEFORMAT ">
          <w:r w:rsidR="00887D5B">
            <w:rPr>
              <w:noProof/>
            </w:rPr>
            <w:t>26</w:t>
          </w:r>
        </w:fldSimple>
      </w:p>
    </w:sdtContent>
  </w:sdt>
  <w:p w:rsidR="00CE288E" w:rsidRDefault="00CE28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88E" w:rsidRDefault="00CE288E" w:rsidP="00B4698D">
      <w:pPr>
        <w:spacing w:after="0" w:line="240" w:lineRule="auto"/>
      </w:pPr>
      <w:r>
        <w:separator/>
      </w:r>
    </w:p>
  </w:footnote>
  <w:footnote w:type="continuationSeparator" w:id="0">
    <w:p w:rsidR="00CE288E" w:rsidRDefault="00CE288E" w:rsidP="00B469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30A"/>
    <w:multiLevelType w:val="hybridMultilevel"/>
    <w:tmpl w:val="98AA166C"/>
    <w:lvl w:ilvl="0" w:tplc="040E000F">
      <w:start w:val="1"/>
      <w:numFmt w:val="decimal"/>
      <w:lvlText w:val="%1."/>
      <w:lvlJc w:val="left"/>
      <w:pPr>
        <w:ind w:left="720" w:hanging="360"/>
      </w:pPr>
    </w:lvl>
    <w:lvl w:ilvl="1" w:tplc="A88EC8B4">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2602BE"/>
    <w:multiLevelType w:val="multilevel"/>
    <w:tmpl w:val="CE1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27238"/>
    <w:multiLevelType w:val="multilevel"/>
    <w:tmpl w:val="4FD4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458A7"/>
    <w:multiLevelType w:val="multilevel"/>
    <w:tmpl w:val="B48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C3273"/>
    <w:multiLevelType w:val="multilevel"/>
    <w:tmpl w:val="EBB06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color w:val="548DD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7C54A51"/>
    <w:multiLevelType w:val="multilevel"/>
    <w:tmpl w:val="73C2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36691"/>
    <w:multiLevelType w:val="multilevel"/>
    <w:tmpl w:val="654A3B3A"/>
    <w:lvl w:ilvl="0">
      <w:start w:val="1"/>
      <w:numFmt w:val="decimal"/>
      <w:lvlText w:val="%1."/>
      <w:lvlJc w:val="left"/>
      <w:pPr>
        <w:ind w:left="218"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7">
    <w:nsid w:val="3DAA700F"/>
    <w:multiLevelType w:val="hybridMultilevel"/>
    <w:tmpl w:val="5D38A0D0"/>
    <w:lvl w:ilvl="0" w:tplc="4A4A7BCC">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BC56A688">
      <w:start w:val="10"/>
      <w:numFmt w:val="decimal"/>
      <w:lvlText w:val="%3"/>
      <w:lvlJc w:val="left"/>
      <w:pPr>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8A93A70"/>
    <w:multiLevelType w:val="multilevel"/>
    <w:tmpl w:val="31DA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3162E"/>
    <w:multiLevelType w:val="multilevel"/>
    <w:tmpl w:val="46F8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75D40"/>
    <w:multiLevelType w:val="multilevel"/>
    <w:tmpl w:val="49FA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702A5"/>
    <w:multiLevelType w:val="multilevel"/>
    <w:tmpl w:val="888E51B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2D6595"/>
    <w:multiLevelType w:val="multilevel"/>
    <w:tmpl w:val="8C0C10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7085A02"/>
    <w:multiLevelType w:val="multilevel"/>
    <w:tmpl w:val="998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71AE8"/>
    <w:multiLevelType w:val="hybridMultilevel"/>
    <w:tmpl w:val="D610B618"/>
    <w:lvl w:ilvl="0" w:tplc="9B603E42">
      <w:start w:val="1"/>
      <w:numFmt w:val="bullet"/>
      <w:lvlText w:val=""/>
      <w:lvlJc w:val="left"/>
      <w:pPr>
        <w:tabs>
          <w:tab w:val="num" w:pos="530"/>
        </w:tabs>
        <w:ind w:left="530" w:hanging="17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71B628D8"/>
    <w:multiLevelType w:val="hybridMultilevel"/>
    <w:tmpl w:val="2F344D8A"/>
    <w:lvl w:ilvl="0" w:tplc="6666F05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E9C6958"/>
    <w:multiLevelType w:val="multilevel"/>
    <w:tmpl w:val="4398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1"/>
  </w:num>
  <w:num w:numId="4">
    <w:abstractNumId w:val="12"/>
  </w:num>
  <w:num w:numId="5">
    <w:abstractNumId w:val="6"/>
  </w:num>
  <w:num w:numId="6">
    <w:abstractNumId w:val="14"/>
  </w:num>
  <w:num w:numId="7">
    <w:abstractNumId w:val="4"/>
  </w:num>
  <w:num w:numId="8">
    <w:abstractNumId w:val="0"/>
  </w:num>
  <w:num w:numId="9">
    <w:abstractNumId w:val="2"/>
  </w:num>
  <w:num w:numId="10">
    <w:abstractNumId w:val="8"/>
  </w:num>
  <w:num w:numId="11">
    <w:abstractNumId w:val="9"/>
  </w:num>
  <w:num w:numId="12">
    <w:abstractNumId w:val="5"/>
  </w:num>
  <w:num w:numId="13">
    <w:abstractNumId w:val="3"/>
  </w:num>
  <w:num w:numId="14">
    <w:abstractNumId w:val="16"/>
  </w:num>
  <w:num w:numId="15">
    <w:abstractNumId w:val="13"/>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E4C06"/>
    <w:rsid w:val="00055057"/>
    <w:rsid w:val="00076099"/>
    <w:rsid w:val="00080935"/>
    <w:rsid w:val="0008145F"/>
    <w:rsid w:val="000A1A06"/>
    <w:rsid w:val="000C66DA"/>
    <w:rsid w:val="000D21DB"/>
    <w:rsid w:val="000E6A22"/>
    <w:rsid w:val="00105889"/>
    <w:rsid w:val="00105F5B"/>
    <w:rsid w:val="001064EE"/>
    <w:rsid w:val="00113219"/>
    <w:rsid w:val="00144185"/>
    <w:rsid w:val="001816F8"/>
    <w:rsid w:val="0019432D"/>
    <w:rsid w:val="001A2F6C"/>
    <w:rsid w:val="00234AEA"/>
    <w:rsid w:val="00251774"/>
    <w:rsid w:val="00270EA6"/>
    <w:rsid w:val="0027637D"/>
    <w:rsid w:val="002B0DDF"/>
    <w:rsid w:val="002B2BCF"/>
    <w:rsid w:val="002B50F1"/>
    <w:rsid w:val="003175F1"/>
    <w:rsid w:val="003319F5"/>
    <w:rsid w:val="003443C6"/>
    <w:rsid w:val="003D02E7"/>
    <w:rsid w:val="003D3F89"/>
    <w:rsid w:val="003D4A6D"/>
    <w:rsid w:val="003E581F"/>
    <w:rsid w:val="00406398"/>
    <w:rsid w:val="00424121"/>
    <w:rsid w:val="00445F5C"/>
    <w:rsid w:val="00467FD4"/>
    <w:rsid w:val="00474110"/>
    <w:rsid w:val="00481EF6"/>
    <w:rsid w:val="004B08E2"/>
    <w:rsid w:val="004F635C"/>
    <w:rsid w:val="0050117B"/>
    <w:rsid w:val="0051572E"/>
    <w:rsid w:val="0057028F"/>
    <w:rsid w:val="00574920"/>
    <w:rsid w:val="005933C9"/>
    <w:rsid w:val="006804BE"/>
    <w:rsid w:val="006A3D23"/>
    <w:rsid w:val="006E068C"/>
    <w:rsid w:val="006E4C06"/>
    <w:rsid w:val="0073413A"/>
    <w:rsid w:val="007529BD"/>
    <w:rsid w:val="007679FD"/>
    <w:rsid w:val="00777EA5"/>
    <w:rsid w:val="007917FD"/>
    <w:rsid w:val="007B0336"/>
    <w:rsid w:val="007B38E5"/>
    <w:rsid w:val="007E1488"/>
    <w:rsid w:val="007F3935"/>
    <w:rsid w:val="0083016F"/>
    <w:rsid w:val="008664DD"/>
    <w:rsid w:val="00887D5B"/>
    <w:rsid w:val="008D03FE"/>
    <w:rsid w:val="008E6E84"/>
    <w:rsid w:val="008F06F5"/>
    <w:rsid w:val="00927668"/>
    <w:rsid w:val="009304E4"/>
    <w:rsid w:val="0093486F"/>
    <w:rsid w:val="009A483B"/>
    <w:rsid w:val="009D6B58"/>
    <w:rsid w:val="009F055B"/>
    <w:rsid w:val="009F7E9F"/>
    <w:rsid w:val="00A00B27"/>
    <w:rsid w:val="00A47628"/>
    <w:rsid w:val="00A7634F"/>
    <w:rsid w:val="00AE2B90"/>
    <w:rsid w:val="00AF3A71"/>
    <w:rsid w:val="00B1245B"/>
    <w:rsid w:val="00B357CC"/>
    <w:rsid w:val="00B43E78"/>
    <w:rsid w:val="00B4698D"/>
    <w:rsid w:val="00BA134B"/>
    <w:rsid w:val="00BB5468"/>
    <w:rsid w:val="00BF2D5F"/>
    <w:rsid w:val="00C212A3"/>
    <w:rsid w:val="00C46B32"/>
    <w:rsid w:val="00C47E1B"/>
    <w:rsid w:val="00C518FE"/>
    <w:rsid w:val="00C55B34"/>
    <w:rsid w:val="00CA14B5"/>
    <w:rsid w:val="00CA532A"/>
    <w:rsid w:val="00CB5422"/>
    <w:rsid w:val="00CE288E"/>
    <w:rsid w:val="00D20A82"/>
    <w:rsid w:val="00D34B66"/>
    <w:rsid w:val="00D57B42"/>
    <w:rsid w:val="00D600FD"/>
    <w:rsid w:val="00D712A3"/>
    <w:rsid w:val="00DC738F"/>
    <w:rsid w:val="00DC7F49"/>
    <w:rsid w:val="00DD414C"/>
    <w:rsid w:val="00DD48F2"/>
    <w:rsid w:val="00E411C4"/>
    <w:rsid w:val="00E452F5"/>
    <w:rsid w:val="00E560C4"/>
    <w:rsid w:val="00F14EFE"/>
    <w:rsid w:val="00F676E3"/>
    <w:rsid w:val="00FB5D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C06"/>
    <w:pPr>
      <w:spacing w:after="200" w:line="276" w:lineRule="auto"/>
    </w:pPr>
    <w:rPr>
      <w:rFonts w:eastAsia="Times New Roman"/>
      <w:sz w:val="22"/>
      <w:szCs w:val="22"/>
      <w:lang w:val="en-US" w:eastAsia="en-US" w:bidi="en-US"/>
    </w:rPr>
  </w:style>
  <w:style w:type="paragraph" w:styleId="Cmsor2">
    <w:name w:val="heading 2"/>
    <w:basedOn w:val="Norml"/>
    <w:next w:val="Norml"/>
    <w:link w:val="Cmsor2Char"/>
    <w:uiPriority w:val="9"/>
    <w:unhideWhenUsed/>
    <w:qFormat/>
    <w:rsid w:val="006E4C06"/>
    <w:pPr>
      <w:keepNext/>
      <w:keepLines/>
      <w:spacing w:before="200" w:after="0"/>
      <w:outlineLvl w:val="1"/>
    </w:pPr>
    <w:rPr>
      <w:rFonts w:ascii="Cambria" w:hAnsi="Cambria"/>
      <w:b/>
      <w:bCs/>
      <w:color w:val="4F81BD"/>
      <w:sz w:val="26"/>
      <w:szCs w:val="26"/>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4C06"/>
    <w:rPr>
      <w:rFonts w:ascii="Cambria" w:eastAsia="Times New Roman" w:hAnsi="Cambria"/>
      <w:b/>
      <w:bCs/>
      <w:color w:val="4F81BD"/>
      <w:sz w:val="26"/>
      <w:szCs w:val="26"/>
    </w:rPr>
  </w:style>
  <w:style w:type="paragraph" w:styleId="Listaszerbekezds">
    <w:name w:val="List Paragraph"/>
    <w:basedOn w:val="Norml"/>
    <w:uiPriority w:val="34"/>
    <w:qFormat/>
    <w:rsid w:val="006E4C06"/>
    <w:pPr>
      <w:ind w:left="720"/>
      <w:contextualSpacing/>
    </w:pPr>
  </w:style>
  <w:style w:type="paragraph" w:styleId="Nincstrkz">
    <w:name w:val="No Spacing"/>
    <w:uiPriority w:val="1"/>
    <w:qFormat/>
    <w:rsid w:val="006E4C06"/>
    <w:rPr>
      <w:rFonts w:eastAsia="Times New Roman"/>
      <w:sz w:val="22"/>
      <w:szCs w:val="22"/>
      <w:lang w:val="en-US" w:eastAsia="en-US" w:bidi="en-US"/>
    </w:rPr>
  </w:style>
  <w:style w:type="paragraph" w:customStyle="1" w:styleId="Default">
    <w:name w:val="Default"/>
    <w:rsid w:val="006E4C06"/>
    <w:pPr>
      <w:autoSpaceDE w:val="0"/>
      <w:autoSpaceDN w:val="0"/>
      <w:adjustRightInd w:val="0"/>
    </w:pPr>
    <w:rPr>
      <w:rFonts w:cs="Calibri"/>
      <w:color w:val="000000"/>
      <w:sz w:val="24"/>
      <w:szCs w:val="24"/>
      <w:lang w:eastAsia="en-US"/>
    </w:rPr>
  </w:style>
  <w:style w:type="paragraph" w:customStyle="1" w:styleId="CM1">
    <w:name w:val="CM1"/>
    <w:basedOn w:val="Default"/>
    <w:next w:val="Default"/>
    <w:uiPriority w:val="99"/>
    <w:rsid w:val="00105889"/>
    <w:rPr>
      <w:rFonts w:ascii="EUAlbertina" w:hAnsi="EUAlbertina" w:cs="Times New Roman"/>
      <w:color w:val="auto"/>
      <w:lang w:eastAsia="hu-HU"/>
    </w:rPr>
  </w:style>
  <w:style w:type="paragraph" w:customStyle="1" w:styleId="CM3">
    <w:name w:val="CM3"/>
    <w:basedOn w:val="Default"/>
    <w:next w:val="Default"/>
    <w:uiPriority w:val="99"/>
    <w:rsid w:val="00105889"/>
    <w:rPr>
      <w:rFonts w:ascii="EUAlbertina" w:hAnsi="EUAlbertina" w:cs="Times New Roman"/>
      <w:color w:val="auto"/>
      <w:lang w:eastAsia="hu-HU"/>
    </w:rPr>
  </w:style>
  <w:style w:type="paragraph" w:customStyle="1" w:styleId="CM4">
    <w:name w:val="CM4"/>
    <w:basedOn w:val="Default"/>
    <w:next w:val="Default"/>
    <w:uiPriority w:val="99"/>
    <w:rsid w:val="00105889"/>
    <w:rPr>
      <w:rFonts w:ascii="EUAlbertina" w:hAnsi="EUAlbertina" w:cs="Times New Roman"/>
      <w:color w:val="auto"/>
      <w:lang w:eastAsia="hu-HU"/>
    </w:rPr>
  </w:style>
  <w:style w:type="paragraph" w:styleId="NormlWeb">
    <w:name w:val="Normal (Web)"/>
    <w:basedOn w:val="Norml"/>
    <w:uiPriority w:val="99"/>
    <w:unhideWhenUsed/>
    <w:rsid w:val="0019432D"/>
    <w:pPr>
      <w:spacing w:before="100" w:beforeAutospacing="1" w:after="100" w:afterAutospacing="1" w:line="240" w:lineRule="auto"/>
    </w:pPr>
    <w:rPr>
      <w:rFonts w:ascii="Times New Roman" w:hAnsi="Times New Roman"/>
      <w:sz w:val="24"/>
      <w:szCs w:val="24"/>
      <w:lang w:val="hu-HU" w:eastAsia="hu-HU" w:bidi="ar-SA"/>
    </w:rPr>
  </w:style>
  <w:style w:type="character" w:styleId="Hiperhivatkozs">
    <w:name w:val="Hyperlink"/>
    <w:basedOn w:val="Bekezdsalapbettpusa"/>
    <w:uiPriority w:val="99"/>
    <w:semiHidden/>
    <w:unhideWhenUsed/>
    <w:rsid w:val="0019432D"/>
    <w:rPr>
      <w:color w:val="0000FF"/>
      <w:u w:val="single"/>
    </w:rPr>
  </w:style>
  <w:style w:type="paragraph" w:customStyle="1" w:styleId="uj">
    <w:name w:val="uj"/>
    <w:basedOn w:val="Norml"/>
    <w:rsid w:val="0019432D"/>
    <w:pPr>
      <w:spacing w:before="100" w:beforeAutospacing="1" w:after="100" w:afterAutospacing="1" w:line="240" w:lineRule="auto"/>
    </w:pPr>
    <w:rPr>
      <w:rFonts w:ascii="Times New Roman" w:hAnsi="Times New Roman"/>
      <w:sz w:val="24"/>
      <w:szCs w:val="24"/>
      <w:lang w:val="hu-HU" w:eastAsia="hu-HU" w:bidi="ar-SA"/>
    </w:rPr>
  </w:style>
  <w:style w:type="paragraph" w:customStyle="1" w:styleId="np">
    <w:name w:val="np"/>
    <w:basedOn w:val="Norml"/>
    <w:rsid w:val="00FB5D58"/>
    <w:pPr>
      <w:spacing w:before="100" w:beforeAutospacing="1" w:after="100" w:afterAutospacing="1" w:line="240" w:lineRule="auto"/>
    </w:pPr>
    <w:rPr>
      <w:rFonts w:ascii="Times New Roman" w:hAnsi="Times New Roman"/>
      <w:sz w:val="24"/>
      <w:szCs w:val="24"/>
      <w:lang w:val="hu-HU" w:eastAsia="hu-HU" w:bidi="ar-SA"/>
    </w:rPr>
  </w:style>
  <w:style w:type="paragraph" w:styleId="lfej">
    <w:name w:val="header"/>
    <w:basedOn w:val="Norml"/>
    <w:link w:val="lfejChar"/>
    <w:uiPriority w:val="99"/>
    <w:semiHidden/>
    <w:unhideWhenUsed/>
    <w:rsid w:val="00B4698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4698D"/>
    <w:rPr>
      <w:rFonts w:eastAsia="Times New Roman"/>
      <w:sz w:val="22"/>
      <w:szCs w:val="22"/>
      <w:lang w:val="en-US" w:eastAsia="en-US" w:bidi="en-US"/>
    </w:rPr>
  </w:style>
  <w:style w:type="paragraph" w:styleId="llb">
    <w:name w:val="footer"/>
    <w:basedOn w:val="Norml"/>
    <w:link w:val="llbChar"/>
    <w:uiPriority w:val="99"/>
    <w:unhideWhenUsed/>
    <w:rsid w:val="00B4698D"/>
    <w:pPr>
      <w:tabs>
        <w:tab w:val="center" w:pos="4536"/>
        <w:tab w:val="right" w:pos="9072"/>
      </w:tabs>
      <w:spacing w:after="0" w:line="240" w:lineRule="auto"/>
    </w:pPr>
  </w:style>
  <w:style w:type="character" w:customStyle="1" w:styleId="llbChar">
    <w:name w:val="Élőláb Char"/>
    <w:basedOn w:val="Bekezdsalapbettpusa"/>
    <w:link w:val="llb"/>
    <w:uiPriority w:val="99"/>
    <w:rsid w:val="00B4698D"/>
    <w:rPr>
      <w:rFonts w:eastAsia="Times New Roman"/>
      <w:sz w:val="22"/>
      <w:szCs w:val="22"/>
      <w:lang w:val="en-US" w:eastAsia="en-US" w:bidi="en-US"/>
    </w:rPr>
  </w:style>
  <w:style w:type="character" w:styleId="Kiemels2">
    <w:name w:val="Strong"/>
    <w:basedOn w:val="Bekezdsalapbettpusa"/>
    <w:uiPriority w:val="22"/>
    <w:qFormat/>
    <w:rsid w:val="007F3935"/>
    <w:rPr>
      <w:b/>
      <w:bCs/>
    </w:rPr>
  </w:style>
  <w:style w:type="table" w:styleId="Rcsostblzat">
    <w:name w:val="Table Grid"/>
    <w:basedOn w:val="Normltblzat"/>
    <w:uiPriority w:val="59"/>
    <w:rsid w:val="00CB5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C06"/>
    <w:pPr>
      <w:spacing w:after="200" w:line="276" w:lineRule="auto"/>
    </w:pPr>
    <w:rPr>
      <w:rFonts w:eastAsia="Times New Roman"/>
      <w:sz w:val="22"/>
      <w:szCs w:val="22"/>
      <w:lang w:val="en-US" w:eastAsia="en-US" w:bidi="en-US"/>
    </w:rPr>
  </w:style>
  <w:style w:type="paragraph" w:styleId="Cmsor2">
    <w:name w:val="heading 2"/>
    <w:basedOn w:val="Norml"/>
    <w:next w:val="Norml"/>
    <w:link w:val="Cmsor2Char"/>
    <w:uiPriority w:val="9"/>
    <w:unhideWhenUsed/>
    <w:qFormat/>
    <w:rsid w:val="006E4C06"/>
    <w:pPr>
      <w:keepNext/>
      <w:keepLines/>
      <w:spacing w:before="200" w:after="0"/>
      <w:outlineLvl w:val="1"/>
    </w:pPr>
    <w:rPr>
      <w:rFonts w:ascii="Cambria" w:hAnsi="Cambria"/>
      <w:b/>
      <w:bCs/>
      <w:color w:val="4F81BD"/>
      <w:sz w:val="26"/>
      <w:szCs w:val="26"/>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4C06"/>
    <w:rPr>
      <w:rFonts w:ascii="Cambria" w:eastAsia="Times New Roman" w:hAnsi="Cambria"/>
      <w:b/>
      <w:bCs/>
      <w:color w:val="4F81BD"/>
      <w:sz w:val="26"/>
      <w:szCs w:val="26"/>
    </w:rPr>
  </w:style>
  <w:style w:type="paragraph" w:styleId="Listaszerbekezds">
    <w:name w:val="List Paragraph"/>
    <w:basedOn w:val="Norml"/>
    <w:uiPriority w:val="34"/>
    <w:qFormat/>
    <w:rsid w:val="006E4C06"/>
    <w:pPr>
      <w:ind w:left="720"/>
      <w:contextualSpacing/>
    </w:pPr>
  </w:style>
  <w:style w:type="paragraph" w:styleId="Nincstrkz">
    <w:name w:val="No Spacing"/>
    <w:uiPriority w:val="1"/>
    <w:qFormat/>
    <w:rsid w:val="006E4C06"/>
    <w:rPr>
      <w:rFonts w:eastAsia="Times New Roman"/>
      <w:sz w:val="22"/>
      <w:szCs w:val="22"/>
      <w:lang w:val="en-US" w:eastAsia="en-US" w:bidi="en-US"/>
    </w:rPr>
  </w:style>
  <w:style w:type="paragraph" w:customStyle="1" w:styleId="Default">
    <w:name w:val="Default"/>
    <w:rsid w:val="006E4C06"/>
    <w:pPr>
      <w:autoSpaceDE w:val="0"/>
      <w:autoSpaceDN w:val="0"/>
      <w:adjustRightInd w:val="0"/>
    </w:pPr>
    <w:rPr>
      <w:rFonts w:cs="Calibri"/>
      <w:color w:val="000000"/>
      <w:sz w:val="24"/>
      <w:szCs w:val="24"/>
      <w:lang w:eastAsia="en-US"/>
    </w:rPr>
  </w:style>
  <w:style w:type="paragraph" w:customStyle="1" w:styleId="CM1">
    <w:name w:val="CM1"/>
    <w:basedOn w:val="Default"/>
    <w:next w:val="Default"/>
    <w:uiPriority w:val="99"/>
    <w:rsid w:val="00105889"/>
    <w:rPr>
      <w:rFonts w:ascii="EUAlbertina" w:hAnsi="EUAlbertina" w:cs="Times New Roman"/>
      <w:color w:val="auto"/>
      <w:lang w:eastAsia="hu-HU"/>
    </w:rPr>
  </w:style>
  <w:style w:type="paragraph" w:customStyle="1" w:styleId="CM3">
    <w:name w:val="CM3"/>
    <w:basedOn w:val="Default"/>
    <w:next w:val="Default"/>
    <w:uiPriority w:val="99"/>
    <w:rsid w:val="00105889"/>
    <w:rPr>
      <w:rFonts w:ascii="EUAlbertina" w:hAnsi="EUAlbertina" w:cs="Times New Roman"/>
      <w:color w:val="auto"/>
      <w:lang w:eastAsia="hu-HU"/>
    </w:rPr>
  </w:style>
  <w:style w:type="paragraph" w:customStyle="1" w:styleId="CM4">
    <w:name w:val="CM4"/>
    <w:basedOn w:val="Default"/>
    <w:next w:val="Default"/>
    <w:uiPriority w:val="99"/>
    <w:rsid w:val="00105889"/>
    <w:rPr>
      <w:rFonts w:ascii="EUAlbertina" w:hAnsi="EUAlbertina" w:cs="Times New Roman"/>
      <w:color w:val="auto"/>
      <w:lang w:eastAsia="hu-HU"/>
    </w:rPr>
  </w:style>
  <w:style w:type="paragraph" w:styleId="NormlWeb">
    <w:name w:val="Normal (Web)"/>
    <w:basedOn w:val="Norml"/>
    <w:uiPriority w:val="99"/>
    <w:unhideWhenUsed/>
    <w:rsid w:val="0019432D"/>
    <w:pPr>
      <w:spacing w:before="100" w:beforeAutospacing="1" w:after="100" w:afterAutospacing="1" w:line="240" w:lineRule="auto"/>
    </w:pPr>
    <w:rPr>
      <w:rFonts w:ascii="Times New Roman" w:hAnsi="Times New Roman"/>
      <w:sz w:val="24"/>
      <w:szCs w:val="24"/>
      <w:lang w:val="hu-HU" w:eastAsia="hu-HU" w:bidi="ar-SA"/>
    </w:rPr>
  </w:style>
  <w:style w:type="character" w:styleId="Hiperhivatkozs">
    <w:name w:val="Hyperlink"/>
    <w:basedOn w:val="Bekezdsalapbettpusa"/>
    <w:uiPriority w:val="99"/>
    <w:semiHidden/>
    <w:unhideWhenUsed/>
    <w:rsid w:val="0019432D"/>
    <w:rPr>
      <w:color w:val="0000FF"/>
      <w:u w:val="single"/>
    </w:rPr>
  </w:style>
  <w:style w:type="paragraph" w:customStyle="1" w:styleId="uj">
    <w:name w:val="uj"/>
    <w:basedOn w:val="Norml"/>
    <w:rsid w:val="0019432D"/>
    <w:pPr>
      <w:spacing w:before="100" w:beforeAutospacing="1" w:after="100" w:afterAutospacing="1" w:line="240" w:lineRule="auto"/>
    </w:pPr>
    <w:rPr>
      <w:rFonts w:ascii="Times New Roman" w:hAnsi="Times New Roman"/>
      <w:sz w:val="24"/>
      <w:szCs w:val="24"/>
      <w:lang w:val="hu-HU" w:eastAsia="hu-HU" w:bidi="ar-SA"/>
    </w:rPr>
  </w:style>
  <w:style w:type="paragraph" w:customStyle="1" w:styleId="np">
    <w:name w:val="np"/>
    <w:basedOn w:val="Norml"/>
    <w:rsid w:val="00FB5D58"/>
    <w:pPr>
      <w:spacing w:before="100" w:beforeAutospacing="1" w:after="100" w:afterAutospacing="1" w:line="240" w:lineRule="auto"/>
    </w:pPr>
    <w:rPr>
      <w:rFonts w:ascii="Times New Roman" w:hAnsi="Times New Roman"/>
      <w:sz w:val="24"/>
      <w:szCs w:val="24"/>
      <w:lang w:val="hu-HU" w:eastAsia="hu-HU" w:bidi="ar-SA"/>
    </w:rPr>
  </w:style>
  <w:style w:type="paragraph" w:styleId="lfej">
    <w:name w:val="header"/>
    <w:basedOn w:val="Norml"/>
    <w:link w:val="lfejChar"/>
    <w:uiPriority w:val="99"/>
    <w:semiHidden/>
    <w:unhideWhenUsed/>
    <w:rsid w:val="00B4698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4698D"/>
    <w:rPr>
      <w:rFonts w:eastAsia="Times New Roman"/>
      <w:sz w:val="22"/>
      <w:szCs w:val="22"/>
      <w:lang w:val="en-US" w:eastAsia="en-US" w:bidi="en-US"/>
    </w:rPr>
  </w:style>
  <w:style w:type="paragraph" w:styleId="llb">
    <w:name w:val="footer"/>
    <w:basedOn w:val="Norml"/>
    <w:link w:val="llbChar"/>
    <w:uiPriority w:val="99"/>
    <w:unhideWhenUsed/>
    <w:rsid w:val="00B4698D"/>
    <w:pPr>
      <w:tabs>
        <w:tab w:val="center" w:pos="4536"/>
        <w:tab w:val="right" w:pos="9072"/>
      </w:tabs>
      <w:spacing w:after="0" w:line="240" w:lineRule="auto"/>
    </w:pPr>
  </w:style>
  <w:style w:type="character" w:customStyle="1" w:styleId="llbChar">
    <w:name w:val="Élőláb Char"/>
    <w:basedOn w:val="Bekezdsalapbettpusa"/>
    <w:link w:val="llb"/>
    <w:uiPriority w:val="99"/>
    <w:rsid w:val="00B4698D"/>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8091872">
      <w:bodyDiv w:val="1"/>
      <w:marLeft w:val="0"/>
      <w:marRight w:val="0"/>
      <w:marTop w:val="0"/>
      <w:marBottom w:val="0"/>
      <w:divBdr>
        <w:top w:val="none" w:sz="0" w:space="0" w:color="auto"/>
        <w:left w:val="none" w:sz="0" w:space="0" w:color="auto"/>
        <w:bottom w:val="none" w:sz="0" w:space="0" w:color="auto"/>
        <w:right w:val="none" w:sz="0" w:space="0" w:color="auto"/>
      </w:divBdr>
    </w:div>
    <w:div w:id="257637038">
      <w:bodyDiv w:val="1"/>
      <w:marLeft w:val="0"/>
      <w:marRight w:val="0"/>
      <w:marTop w:val="0"/>
      <w:marBottom w:val="0"/>
      <w:divBdr>
        <w:top w:val="none" w:sz="0" w:space="0" w:color="auto"/>
        <w:left w:val="none" w:sz="0" w:space="0" w:color="auto"/>
        <w:bottom w:val="none" w:sz="0" w:space="0" w:color="auto"/>
        <w:right w:val="none" w:sz="0" w:space="0" w:color="auto"/>
      </w:divBdr>
    </w:div>
    <w:div w:id="312565121">
      <w:bodyDiv w:val="1"/>
      <w:marLeft w:val="0"/>
      <w:marRight w:val="0"/>
      <w:marTop w:val="0"/>
      <w:marBottom w:val="0"/>
      <w:divBdr>
        <w:top w:val="none" w:sz="0" w:space="0" w:color="auto"/>
        <w:left w:val="none" w:sz="0" w:space="0" w:color="auto"/>
        <w:bottom w:val="none" w:sz="0" w:space="0" w:color="auto"/>
        <w:right w:val="none" w:sz="0" w:space="0" w:color="auto"/>
      </w:divBdr>
    </w:div>
    <w:div w:id="427392069">
      <w:bodyDiv w:val="1"/>
      <w:marLeft w:val="0"/>
      <w:marRight w:val="0"/>
      <w:marTop w:val="0"/>
      <w:marBottom w:val="0"/>
      <w:divBdr>
        <w:top w:val="none" w:sz="0" w:space="0" w:color="auto"/>
        <w:left w:val="none" w:sz="0" w:space="0" w:color="auto"/>
        <w:bottom w:val="none" w:sz="0" w:space="0" w:color="auto"/>
        <w:right w:val="none" w:sz="0" w:space="0" w:color="auto"/>
      </w:divBdr>
    </w:div>
    <w:div w:id="566721903">
      <w:bodyDiv w:val="1"/>
      <w:marLeft w:val="0"/>
      <w:marRight w:val="0"/>
      <w:marTop w:val="0"/>
      <w:marBottom w:val="0"/>
      <w:divBdr>
        <w:top w:val="none" w:sz="0" w:space="0" w:color="auto"/>
        <w:left w:val="none" w:sz="0" w:space="0" w:color="auto"/>
        <w:bottom w:val="none" w:sz="0" w:space="0" w:color="auto"/>
        <w:right w:val="none" w:sz="0" w:space="0" w:color="auto"/>
      </w:divBdr>
      <w:divsChild>
        <w:div w:id="1143693161">
          <w:marLeft w:val="0"/>
          <w:marRight w:val="0"/>
          <w:marTop w:val="0"/>
          <w:marBottom w:val="0"/>
          <w:divBdr>
            <w:top w:val="none" w:sz="0" w:space="0" w:color="auto"/>
            <w:left w:val="none" w:sz="0" w:space="0" w:color="auto"/>
            <w:bottom w:val="none" w:sz="0" w:space="0" w:color="auto"/>
            <w:right w:val="none" w:sz="0" w:space="0" w:color="auto"/>
          </w:divBdr>
          <w:divsChild>
            <w:div w:id="811796415">
              <w:marLeft w:val="0"/>
              <w:marRight w:val="0"/>
              <w:marTop w:val="0"/>
              <w:marBottom w:val="0"/>
              <w:divBdr>
                <w:top w:val="none" w:sz="0" w:space="0" w:color="auto"/>
                <w:left w:val="none" w:sz="0" w:space="0" w:color="auto"/>
                <w:bottom w:val="none" w:sz="0" w:space="0" w:color="auto"/>
                <w:right w:val="none" w:sz="0" w:space="0" w:color="auto"/>
              </w:divBdr>
            </w:div>
          </w:divsChild>
        </w:div>
        <w:div w:id="1949702213">
          <w:marLeft w:val="30"/>
          <w:marRight w:val="0"/>
          <w:marTop w:val="0"/>
          <w:marBottom w:val="0"/>
          <w:divBdr>
            <w:top w:val="single" w:sz="18" w:space="5" w:color="CCCCCC"/>
            <w:left w:val="none" w:sz="0" w:space="0" w:color="auto"/>
            <w:bottom w:val="none" w:sz="0" w:space="0" w:color="auto"/>
            <w:right w:val="none" w:sz="0" w:space="0" w:color="auto"/>
          </w:divBdr>
        </w:div>
      </w:divsChild>
    </w:div>
    <w:div w:id="590968614">
      <w:bodyDiv w:val="1"/>
      <w:marLeft w:val="0"/>
      <w:marRight w:val="0"/>
      <w:marTop w:val="0"/>
      <w:marBottom w:val="0"/>
      <w:divBdr>
        <w:top w:val="none" w:sz="0" w:space="0" w:color="auto"/>
        <w:left w:val="none" w:sz="0" w:space="0" w:color="auto"/>
        <w:bottom w:val="none" w:sz="0" w:space="0" w:color="auto"/>
        <w:right w:val="none" w:sz="0" w:space="0" w:color="auto"/>
      </w:divBdr>
    </w:div>
    <w:div w:id="591353682">
      <w:bodyDiv w:val="1"/>
      <w:marLeft w:val="0"/>
      <w:marRight w:val="0"/>
      <w:marTop w:val="0"/>
      <w:marBottom w:val="0"/>
      <w:divBdr>
        <w:top w:val="none" w:sz="0" w:space="0" w:color="auto"/>
        <w:left w:val="none" w:sz="0" w:space="0" w:color="auto"/>
        <w:bottom w:val="none" w:sz="0" w:space="0" w:color="auto"/>
        <w:right w:val="none" w:sz="0" w:space="0" w:color="auto"/>
      </w:divBdr>
      <w:divsChild>
        <w:div w:id="1380088875">
          <w:marLeft w:val="0"/>
          <w:marRight w:val="0"/>
          <w:marTop w:val="0"/>
          <w:marBottom w:val="0"/>
          <w:divBdr>
            <w:top w:val="none" w:sz="0" w:space="0" w:color="auto"/>
            <w:left w:val="none" w:sz="0" w:space="0" w:color="auto"/>
            <w:bottom w:val="none" w:sz="0" w:space="0" w:color="auto"/>
            <w:right w:val="none" w:sz="0" w:space="0" w:color="auto"/>
          </w:divBdr>
          <w:divsChild>
            <w:div w:id="2015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11413">
      <w:bodyDiv w:val="1"/>
      <w:marLeft w:val="0"/>
      <w:marRight w:val="0"/>
      <w:marTop w:val="0"/>
      <w:marBottom w:val="0"/>
      <w:divBdr>
        <w:top w:val="none" w:sz="0" w:space="0" w:color="auto"/>
        <w:left w:val="none" w:sz="0" w:space="0" w:color="auto"/>
        <w:bottom w:val="none" w:sz="0" w:space="0" w:color="auto"/>
        <w:right w:val="none" w:sz="0" w:space="0" w:color="auto"/>
      </w:divBdr>
    </w:div>
    <w:div w:id="796990051">
      <w:bodyDiv w:val="1"/>
      <w:marLeft w:val="0"/>
      <w:marRight w:val="0"/>
      <w:marTop w:val="0"/>
      <w:marBottom w:val="0"/>
      <w:divBdr>
        <w:top w:val="none" w:sz="0" w:space="0" w:color="auto"/>
        <w:left w:val="none" w:sz="0" w:space="0" w:color="auto"/>
        <w:bottom w:val="none" w:sz="0" w:space="0" w:color="auto"/>
        <w:right w:val="none" w:sz="0" w:space="0" w:color="auto"/>
      </w:divBdr>
    </w:div>
    <w:div w:id="843780866">
      <w:bodyDiv w:val="1"/>
      <w:marLeft w:val="0"/>
      <w:marRight w:val="0"/>
      <w:marTop w:val="0"/>
      <w:marBottom w:val="0"/>
      <w:divBdr>
        <w:top w:val="none" w:sz="0" w:space="0" w:color="auto"/>
        <w:left w:val="none" w:sz="0" w:space="0" w:color="auto"/>
        <w:bottom w:val="none" w:sz="0" w:space="0" w:color="auto"/>
        <w:right w:val="none" w:sz="0" w:space="0" w:color="auto"/>
      </w:divBdr>
    </w:div>
    <w:div w:id="851141236">
      <w:bodyDiv w:val="1"/>
      <w:marLeft w:val="0"/>
      <w:marRight w:val="0"/>
      <w:marTop w:val="0"/>
      <w:marBottom w:val="0"/>
      <w:divBdr>
        <w:top w:val="none" w:sz="0" w:space="0" w:color="auto"/>
        <w:left w:val="none" w:sz="0" w:space="0" w:color="auto"/>
        <w:bottom w:val="none" w:sz="0" w:space="0" w:color="auto"/>
        <w:right w:val="none" w:sz="0" w:space="0" w:color="auto"/>
      </w:divBdr>
    </w:div>
    <w:div w:id="906383069">
      <w:bodyDiv w:val="1"/>
      <w:marLeft w:val="0"/>
      <w:marRight w:val="0"/>
      <w:marTop w:val="0"/>
      <w:marBottom w:val="0"/>
      <w:divBdr>
        <w:top w:val="none" w:sz="0" w:space="0" w:color="auto"/>
        <w:left w:val="none" w:sz="0" w:space="0" w:color="auto"/>
        <w:bottom w:val="none" w:sz="0" w:space="0" w:color="auto"/>
        <w:right w:val="none" w:sz="0" w:space="0" w:color="auto"/>
      </w:divBdr>
    </w:div>
    <w:div w:id="959385715">
      <w:bodyDiv w:val="1"/>
      <w:marLeft w:val="0"/>
      <w:marRight w:val="0"/>
      <w:marTop w:val="0"/>
      <w:marBottom w:val="0"/>
      <w:divBdr>
        <w:top w:val="none" w:sz="0" w:space="0" w:color="auto"/>
        <w:left w:val="none" w:sz="0" w:space="0" w:color="auto"/>
        <w:bottom w:val="none" w:sz="0" w:space="0" w:color="auto"/>
        <w:right w:val="none" w:sz="0" w:space="0" w:color="auto"/>
      </w:divBdr>
    </w:div>
    <w:div w:id="1102259681">
      <w:bodyDiv w:val="1"/>
      <w:marLeft w:val="0"/>
      <w:marRight w:val="0"/>
      <w:marTop w:val="0"/>
      <w:marBottom w:val="0"/>
      <w:divBdr>
        <w:top w:val="none" w:sz="0" w:space="0" w:color="auto"/>
        <w:left w:val="none" w:sz="0" w:space="0" w:color="auto"/>
        <w:bottom w:val="none" w:sz="0" w:space="0" w:color="auto"/>
        <w:right w:val="none" w:sz="0" w:space="0" w:color="auto"/>
      </w:divBdr>
    </w:div>
    <w:div w:id="1107235587">
      <w:bodyDiv w:val="1"/>
      <w:marLeft w:val="0"/>
      <w:marRight w:val="0"/>
      <w:marTop w:val="0"/>
      <w:marBottom w:val="0"/>
      <w:divBdr>
        <w:top w:val="none" w:sz="0" w:space="0" w:color="auto"/>
        <w:left w:val="none" w:sz="0" w:space="0" w:color="auto"/>
        <w:bottom w:val="none" w:sz="0" w:space="0" w:color="auto"/>
        <w:right w:val="none" w:sz="0" w:space="0" w:color="auto"/>
      </w:divBdr>
      <w:divsChild>
        <w:div w:id="1968077573">
          <w:marLeft w:val="0"/>
          <w:marRight w:val="0"/>
          <w:marTop w:val="0"/>
          <w:marBottom w:val="0"/>
          <w:divBdr>
            <w:top w:val="none" w:sz="0" w:space="0" w:color="auto"/>
            <w:left w:val="none" w:sz="0" w:space="0" w:color="auto"/>
            <w:bottom w:val="none" w:sz="0" w:space="0" w:color="auto"/>
            <w:right w:val="none" w:sz="0" w:space="0" w:color="auto"/>
          </w:divBdr>
          <w:divsChild>
            <w:div w:id="1686319484">
              <w:marLeft w:val="0"/>
              <w:marRight w:val="0"/>
              <w:marTop w:val="0"/>
              <w:marBottom w:val="0"/>
              <w:divBdr>
                <w:top w:val="none" w:sz="0" w:space="0" w:color="auto"/>
                <w:left w:val="none" w:sz="0" w:space="0" w:color="auto"/>
                <w:bottom w:val="none" w:sz="0" w:space="0" w:color="auto"/>
                <w:right w:val="none" w:sz="0" w:space="0" w:color="auto"/>
              </w:divBdr>
            </w:div>
            <w:div w:id="1877158077">
              <w:marLeft w:val="0"/>
              <w:marRight w:val="0"/>
              <w:marTop w:val="0"/>
              <w:marBottom w:val="0"/>
              <w:divBdr>
                <w:top w:val="none" w:sz="0" w:space="0" w:color="auto"/>
                <w:left w:val="none" w:sz="0" w:space="0" w:color="auto"/>
                <w:bottom w:val="none" w:sz="0" w:space="0" w:color="auto"/>
                <w:right w:val="none" w:sz="0" w:space="0" w:color="auto"/>
              </w:divBdr>
            </w:div>
          </w:divsChild>
        </w:div>
        <w:div w:id="177350817">
          <w:marLeft w:val="0"/>
          <w:marRight w:val="0"/>
          <w:marTop w:val="0"/>
          <w:marBottom w:val="0"/>
          <w:divBdr>
            <w:top w:val="none" w:sz="0" w:space="0" w:color="auto"/>
            <w:left w:val="none" w:sz="0" w:space="0" w:color="auto"/>
            <w:bottom w:val="none" w:sz="0" w:space="0" w:color="auto"/>
            <w:right w:val="none" w:sz="0" w:space="0" w:color="auto"/>
          </w:divBdr>
        </w:div>
      </w:divsChild>
    </w:div>
    <w:div w:id="1194270717">
      <w:bodyDiv w:val="1"/>
      <w:marLeft w:val="0"/>
      <w:marRight w:val="0"/>
      <w:marTop w:val="0"/>
      <w:marBottom w:val="0"/>
      <w:divBdr>
        <w:top w:val="none" w:sz="0" w:space="0" w:color="auto"/>
        <w:left w:val="none" w:sz="0" w:space="0" w:color="auto"/>
        <w:bottom w:val="none" w:sz="0" w:space="0" w:color="auto"/>
        <w:right w:val="none" w:sz="0" w:space="0" w:color="auto"/>
      </w:divBdr>
    </w:div>
    <w:div w:id="12313873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56">
          <w:marLeft w:val="0"/>
          <w:marRight w:val="0"/>
          <w:marTop w:val="0"/>
          <w:marBottom w:val="0"/>
          <w:divBdr>
            <w:top w:val="none" w:sz="0" w:space="0" w:color="auto"/>
            <w:left w:val="none" w:sz="0" w:space="0" w:color="auto"/>
            <w:bottom w:val="none" w:sz="0" w:space="0" w:color="auto"/>
            <w:right w:val="none" w:sz="0" w:space="0" w:color="auto"/>
          </w:divBdr>
          <w:divsChild>
            <w:div w:id="74670771">
              <w:marLeft w:val="0"/>
              <w:marRight w:val="0"/>
              <w:marTop w:val="0"/>
              <w:marBottom w:val="0"/>
              <w:divBdr>
                <w:top w:val="none" w:sz="0" w:space="0" w:color="auto"/>
                <w:left w:val="none" w:sz="0" w:space="0" w:color="auto"/>
                <w:bottom w:val="none" w:sz="0" w:space="0" w:color="auto"/>
                <w:right w:val="none" w:sz="0" w:space="0" w:color="auto"/>
              </w:divBdr>
            </w:div>
            <w:div w:id="60107990">
              <w:marLeft w:val="0"/>
              <w:marRight w:val="0"/>
              <w:marTop w:val="0"/>
              <w:marBottom w:val="0"/>
              <w:divBdr>
                <w:top w:val="none" w:sz="0" w:space="0" w:color="auto"/>
                <w:left w:val="none" w:sz="0" w:space="0" w:color="auto"/>
                <w:bottom w:val="none" w:sz="0" w:space="0" w:color="auto"/>
                <w:right w:val="none" w:sz="0" w:space="0" w:color="auto"/>
              </w:divBdr>
            </w:div>
          </w:divsChild>
        </w:div>
        <w:div w:id="1617063041">
          <w:marLeft w:val="0"/>
          <w:marRight w:val="0"/>
          <w:marTop w:val="0"/>
          <w:marBottom w:val="0"/>
          <w:divBdr>
            <w:top w:val="none" w:sz="0" w:space="0" w:color="auto"/>
            <w:left w:val="none" w:sz="0" w:space="0" w:color="auto"/>
            <w:bottom w:val="none" w:sz="0" w:space="0" w:color="auto"/>
            <w:right w:val="none" w:sz="0" w:space="0" w:color="auto"/>
          </w:divBdr>
        </w:div>
      </w:divsChild>
    </w:div>
    <w:div w:id="1308244554">
      <w:bodyDiv w:val="1"/>
      <w:marLeft w:val="0"/>
      <w:marRight w:val="0"/>
      <w:marTop w:val="0"/>
      <w:marBottom w:val="0"/>
      <w:divBdr>
        <w:top w:val="none" w:sz="0" w:space="0" w:color="auto"/>
        <w:left w:val="none" w:sz="0" w:space="0" w:color="auto"/>
        <w:bottom w:val="none" w:sz="0" w:space="0" w:color="auto"/>
        <w:right w:val="none" w:sz="0" w:space="0" w:color="auto"/>
      </w:divBdr>
      <w:divsChild>
        <w:div w:id="1449396447">
          <w:marLeft w:val="0"/>
          <w:marRight w:val="0"/>
          <w:marTop w:val="0"/>
          <w:marBottom w:val="0"/>
          <w:divBdr>
            <w:top w:val="none" w:sz="0" w:space="0" w:color="auto"/>
            <w:left w:val="none" w:sz="0" w:space="0" w:color="auto"/>
            <w:bottom w:val="none" w:sz="0" w:space="0" w:color="auto"/>
            <w:right w:val="none" w:sz="0" w:space="0" w:color="auto"/>
          </w:divBdr>
          <w:divsChild>
            <w:div w:id="337999264">
              <w:marLeft w:val="0"/>
              <w:marRight w:val="0"/>
              <w:marTop w:val="0"/>
              <w:marBottom w:val="0"/>
              <w:divBdr>
                <w:top w:val="none" w:sz="0" w:space="0" w:color="auto"/>
                <w:left w:val="none" w:sz="0" w:space="0" w:color="auto"/>
                <w:bottom w:val="none" w:sz="0" w:space="0" w:color="auto"/>
                <w:right w:val="none" w:sz="0" w:space="0" w:color="auto"/>
              </w:divBdr>
            </w:div>
            <w:div w:id="3384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1568">
      <w:bodyDiv w:val="1"/>
      <w:marLeft w:val="0"/>
      <w:marRight w:val="0"/>
      <w:marTop w:val="0"/>
      <w:marBottom w:val="0"/>
      <w:divBdr>
        <w:top w:val="none" w:sz="0" w:space="0" w:color="auto"/>
        <w:left w:val="none" w:sz="0" w:space="0" w:color="auto"/>
        <w:bottom w:val="none" w:sz="0" w:space="0" w:color="auto"/>
        <w:right w:val="none" w:sz="0" w:space="0" w:color="auto"/>
      </w:divBdr>
    </w:div>
    <w:div w:id="1490370049">
      <w:bodyDiv w:val="1"/>
      <w:marLeft w:val="0"/>
      <w:marRight w:val="0"/>
      <w:marTop w:val="0"/>
      <w:marBottom w:val="0"/>
      <w:divBdr>
        <w:top w:val="none" w:sz="0" w:space="0" w:color="auto"/>
        <w:left w:val="none" w:sz="0" w:space="0" w:color="auto"/>
        <w:bottom w:val="none" w:sz="0" w:space="0" w:color="auto"/>
        <w:right w:val="none" w:sz="0" w:space="0" w:color="auto"/>
      </w:divBdr>
    </w:div>
    <w:div w:id="1505435880">
      <w:bodyDiv w:val="1"/>
      <w:marLeft w:val="0"/>
      <w:marRight w:val="0"/>
      <w:marTop w:val="0"/>
      <w:marBottom w:val="0"/>
      <w:divBdr>
        <w:top w:val="none" w:sz="0" w:space="0" w:color="auto"/>
        <w:left w:val="none" w:sz="0" w:space="0" w:color="auto"/>
        <w:bottom w:val="none" w:sz="0" w:space="0" w:color="auto"/>
        <w:right w:val="none" w:sz="0" w:space="0" w:color="auto"/>
      </w:divBdr>
    </w:div>
    <w:div w:id="1675456497">
      <w:bodyDiv w:val="1"/>
      <w:marLeft w:val="0"/>
      <w:marRight w:val="0"/>
      <w:marTop w:val="0"/>
      <w:marBottom w:val="0"/>
      <w:divBdr>
        <w:top w:val="none" w:sz="0" w:space="0" w:color="auto"/>
        <w:left w:val="none" w:sz="0" w:space="0" w:color="auto"/>
        <w:bottom w:val="none" w:sz="0" w:space="0" w:color="auto"/>
        <w:right w:val="none" w:sz="0" w:space="0" w:color="auto"/>
      </w:divBdr>
    </w:div>
    <w:div w:id="1880362448">
      <w:bodyDiv w:val="1"/>
      <w:marLeft w:val="0"/>
      <w:marRight w:val="0"/>
      <w:marTop w:val="0"/>
      <w:marBottom w:val="0"/>
      <w:divBdr>
        <w:top w:val="none" w:sz="0" w:space="0" w:color="auto"/>
        <w:left w:val="none" w:sz="0" w:space="0" w:color="auto"/>
        <w:bottom w:val="none" w:sz="0" w:space="0" w:color="auto"/>
        <w:right w:val="none" w:sz="0" w:space="0" w:color="auto"/>
      </w:divBdr>
    </w:div>
    <w:div w:id="1881628601">
      <w:bodyDiv w:val="1"/>
      <w:marLeft w:val="0"/>
      <w:marRight w:val="0"/>
      <w:marTop w:val="0"/>
      <w:marBottom w:val="0"/>
      <w:divBdr>
        <w:top w:val="none" w:sz="0" w:space="0" w:color="auto"/>
        <w:left w:val="none" w:sz="0" w:space="0" w:color="auto"/>
        <w:bottom w:val="none" w:sz="0" w:space="0" w:color="auto"/>
        <w:right w:val="none" w:sz="0" w:space="0" w:color="auto"/>
      </w:divBdr>
    </w:div>
    <w:div w:id="19752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70226.26604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jt.hu/cgi_bin/njt_doc.cgi?docid=170226.2660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cgi_bin/njt_doc.cgi?docid=170226.2660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jt.hu/cgi_bin/njt_doc.cgi?docid=170226.266044" TargetMode="External"/><Relationship Id="rId4" Type="http://schemas.openxmlformats.org/officeDocument/2006/relationships/settings" Target="settings.xml"/><Relationship Id="rId9" Type="http://schemas.openxmlformats.org/officeDocument/2006/relationships/hyperlink" Target="http://njt.hu/cgi_bin/njt_doc.cgi?docid=170226.266044" TargetMode="Externa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3152-D7F6-4BD6-B310-19C5F3D2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9318</Words>
  <Characters>64302</Characters>
  <Application>Microsoft Office Word</Application>
  <DocSecurity>0</DocSecurity>
  <Lines>535</Lines>
  <Paragraphs>146</Paragraphs>
  <ScaleCrop>false</ScaleCrop>
  <HeadingPairs>
    <vt:vector size="2" baseType="variant">
      <vt:variant>
        <vt:lpstr>Cím</vt:lpstr>
      </vt:variant>
      <vt:variant>
        <vt:i4>1</vt:i4>
      </vt:variant>
    </vt:vector>
  </HeadingPairs>
  <TitlesOfParts>
    <vt:vector size="1" baseType="lpstr">
      <vt:lpstr/>
    </vt:vector>
  </TitlesOfParts>
  <Company>Heves Megyei Önkormányzat</Company>
  <LinksUpToDate>false</LinksUpToDate>
  <CharactersWithSpaces>73474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Hekeliné Blahó Katalin</dc:creator>
  <cp:lastModifiedBy> </cp:lastModifiedBy>
  <cp:revision>5</cp:revision>
  <cp:lastPrinted>2014-08-25T09:49:00Z</cp:lastPrinted>
  <dcterms:created xsi:type="dcterms:W3CDTF">2015-09-10T07:28:00Z</dcterms:created>
  <dcterms:modified xsi:type="dcterms:W3CDTF">2015-09-10T07:32:00Z</dcterms:modified>
</cp:coreProperties>
</file>